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BC" w:rsidRPr="00666570" w:rsidRDefault="00854E65">
      <w:pPr>
        <w:rPr>
          <w:b/>
          <w:sz w:val="24"/>
          <w:szCs w:val="24"/>
          <w:u w:val="single"/>
          <w:lang w:val="en-US"/>
        </w:rPr>
      </w:pPr>
      <w:r>
        <w:rPr>
          <w:b/>
          <w:sz w:val="24"/>
          <w:szCs w:val="24"/>
          <w:u w:val="single"/>
          <w:lang w:val="en-US"/>
        </w:rPr>
        <w:t>Session/</w:t>
      </w:r>
      <w:r w:rsidR="00EC5779" w:rsidRPr="00666570">
        <w:rPr>
          <w:b/>
          <w:sz w:val="24"/>
          <w:szCs w:val="24"/>
          <w:u w:val="single"/>
          <w:lang w:val="en-US"/>
        </w:rPr>
        <w:t>Working Group Title:</w:t>
      </w:r>
      <w:r w:rsidR="00450836">
        <w:rPr>
          <w:b/>
          <w:sz w:val="24"/>
          <w:szCs w:val="24"/>
          <w:u w:val="single"/>
          <w:lang w:val="en-US"/>
        </w:rPr>
        <w:t xml:space="preserve"> </w:t>
      </w:r>
      <w:r w:rsidR="00E125E1">
        <w:rPr>
          <w:b/>
          <w:sz w:val="24"/>
          <w:szCs w:val="24"/>
          <w:u w:val="single"/>
          <w:lang w:val="en-US"/>
        </w:rPr>
        <w:t xml:space="preserve"> 11.1 Science in support of reg</w:t>
      </w:r>
      <w:r w:rsidR="00450836">
        <w:rPr>
          <w:b/>
          <w:sz w:val="24"/>
          <w:szCs w:val="24"/>
          <w:u w:val="single"/>
          <w:lang w:val="en-US"/>
        </w:rPr>
        <w:t>ional cooperation</w:t>
      </w:r>
    </w:p>
    <w:p w:rsidR="004D584D" w:rsidRPr="00877B03" w:rsidRDefault="004D584D">
      <w:pPr>
        <w:rPr>
          <w:b/>
          <w:sz w:val="24"/>
          <w:szCs w:val="24"/>
          <w:lang w:val="en-US"/>
        </w:rPr>
      </w:pPr>
    </w:p>
    <w:p w:rsidR="00316FBC" w:rsidRPr="00877B03" w:rsidRDefault="00840106">
      <w:pPr>
        <w:rPr>
          <w:b/>
          <w:sz w:val="24"/>
          <w:szCs w:val="24"/>
          <w:lang w:val="en-US"/>
        </w:rPr>
      </w:pPr>
      <w:r>
        <w:rPr>
          <w:b/>
          <w:sz w:val="24"/>
          <w:szCs w:val="24"/>
          <w:lang w:val="en-US"/>
        </w:rPr>
        <w:t>Moderator</w:t>
      </w:r>
      <w:r w:rsidR="00854E65">
        <w:rPr>
          <w:b/>
          <w:sz w:val="24"/>
          <w:szCs w:val="24"/>
          <w:lang w:val="en-US"/>
        </w:rPr>
        <w:t>/Chair</w:t>
      </w:r>
      <w:r w:rsidR="00A1281A" w:rsidRPr="00877B03">
        <w:rPr>
          <w:b/>
          <w:sz w:val="24"/>
          <w:szCs w:val="24"/>
          <w:lang w:val="en-US"/>
        </w:rPr>
        <w:t>:</w:t>
      </w:r>
      <w:r w:rsidR="00450836">
        <w:rPr>
          <w:b/>
          <w:sz w:val="24"/>
          <w:szCs w:val="24"/>
          <w:lang w:val="en-US"/>
        </w:rPr>
        <w:t xml:space="preserve"> Jakob Granit</w:t>
      </w:r>
    </w:p>
    <w:p w:rsidR="004D584D" w:rsidRPr="00877B03" w:rsidRDefault="004D584D">
      <w:pPr>
        <w:rPr>
          <w:b/>
          <w:sz w:val="24"/>
          <w:szCs w:val="24"/>
          <w:lang w:val="en-US"/>
        </w:rPr>
      </w:pPr>
    </w:p>
    <w:p w:rsidR="004D584D" w:rsidRPr="00877B03" w:rsidRDefault="004D584D">
      <w:pPr>
        <w:rPr>
          <w:b/>
          <w:sz w:val="24"/>
          <w:szCs w:val="24"/>
          <w:lang w:val="en-US"/>
        </w:rPr>
      </w:pPr>
      <w:r w:rsidRPr="00877B03">
        <w:rPr>
          <w:b/>
          <w:sz w:val="24"/>
          <w:szCs w:val="24"/>
          <w:lang w:val="en-US"/>
        </w:rPr>
        <w:t>Rapporteur:</w:t>
      </w:r>
      <w:r w:rsidR="00450836">
        <w:rPr>
          <w:b/>
          <w:sz w:val="24"/>
          <w:szCs w:val="24"/>
          <w:lang w:val="en-US"/>
        </w:rPr>
        <w:t xml:space="preserve"> Douglas Taylor</w:t>
      </w:r>
    </w:p>
    <w:p w:rsidR="004D584D" w:rsidRPr="00877B03" w:rsidRDefault="004D584D" w:rsidP="00243152">
      <w:pPr>
        <w:rPr>
          <w:b/>
          <w:sz w:val="24"/>
          <w:szCs w:val="24"/>
          <w:lang w:val="en-US"/>
        </w:rPr>
      </w:pPr>
    </w:p>
    <w:p w:rsidR="00243152" w:rsidRPr="00877B03" w:rsidRDefault="00243152" w:rsidP="00243152">
      <w:pPr>
        <w:rPr>
          <w:b/>
          <w:sz w:val="24"/>
          <w:szCs w:val="24"/>
          <w:lang w:val="en-US"/>
        </w:rPr>
      </w:pPr>
      <w:r w:rsidRPr="00877B03">
        <w:rPr>
          <w:b/>
          <w:sz w:val="24"/>
          <w:szCs w:val="24"/>
          <w:lang w:val="en-US"/>
        </w:rPr>
        <w:t>Keynote Speaker</w:t>
      </w:r>
      <w:r w:rsidR="007664AA">
        <w:rPr>
          <w:b/>
          <w:sz w:val="24"/>
          <w:szCs w:val="24"/>
          <w:lang w:val="en-US"/>
        </w:rPr>
        <w:t>s</w:t>
      </w:r>
      <w:r w:rsidR="00B17448" w:rsidRPr="00877B03">
        <w:rPr>
          <w:b/>
          <w:sz w:val="24"/>
          <w:szCs w:val="24"/>
          <w:lang w:val="en-US"/>
        </w:rPr>
        <w:t>:</w:t>
      </w:r>
      <w:r w:rsidR="00475630">
        <w:rPr>
          <w:b/>
          <w:sz w:val="24"/>
          <w:szCs w:val="24"/>
          <w:lang w:val="en-US"/>
        </w:rPr>
        <w:t xml:space="preserve"> Raymond </w:t>
      </w:r>
      <w:proofErr w:type="spellStart"/>
      <w:r w:rsidR="00475630">
        <w:rPr>
          <w:b/>
          <w:sz w:val="24"/>
          <w:szCs w:val="24"/>
          <w:lang w:val="en-US"/>
        </w:rPr>
        <w:t>Mngodo</w:t>
      </w:r>
      <w:proofErr w:type="spellEnd"/>
      <w:r w:rsidR="00475630">
        <w:rPr>
          <w:b/>
          <w:sz w:val="24"/>
          <w:szCs w:val="24"/>
          <w:lang w:val="en-US"/>
        </w:rPr>
        <w:t xml:space="preserve"> (LVBC</w:t>
      </w:r>
      <w:r w:rsidR="00450836">
        <w:rPr>
          <w:b/>
          <w:sz w:val="24"/>
          <w:szCs w:val="24"/>
          <w:lang w:val="en-US"/>
        </w:rPr>
        <w:t>), Cletus Springer (OAS)</w:t>
      </w:r>
    </w:p>
    <w:p w:rsidR="004D584D" w:rsidRPr="00EC5779" w:rsidRDefault="004D584D" w:rsidP="00243152">
      <w:pPr>
        <w:rPr>
          <w:b/>
          <w:sz w:val="24"/>
          <w:szCs w:val="24"/>
          <w:lang w:val="en-US"/>
        </w:rPr>
      </w:pPr>
    </w:p>
    <w:p w:rsidR="00243152" w:rsidRPr="00EC5779" w:rsidRDefault="00243152" w:rsidP="00243152">
      <w:pPr>
        <w:rPr>
          <w:b/>
          <w:sz w:val="24"/>
          <w:szCs w:val="24"/>
          <w:lang w:val="en-US"/>
        </w:rPr>
      </w:pPr>
      <w:r w:rsidRPr="00EC5779">
        <w:rPr>
          <w:b/>
          <w:sz w:val="24"/>
          <w:szCs w:val="24"/>
          <w:lang w:val="en-US"/>
        </w:rPr>
        <w:t>Discussant</w:t>
      </w:r>
      <w:r w:rsidR="00B17448" w:rsidRPr="00EC5779">
        <w:rPr>
          <w:b/>
          <w:sz w:val="24"/>
          <w:szCs w:val="24"/>
          <w:lang w:val="en-US"/>
        </w:rPr>
        <w:t>:</w:t>
      </w:r>
      <w:r w:rsidR="00F577C7">
        <w:rPr>
          <w:b/>
          <w:sz w:val="24"/>
          <w:szCs w:val="24"/>
          <w:lang w:val="en-US"/>
        </w:rPr>
        <w:t xml:space="preserve"> None assigned</w:t>
      </w:r>
    </w:p>
    <w:p w:rsidR="00B17448" w:rsidRPr="00EC5779" w:rsidRDefault="00B17448" w:rsidP="00243152">
      <w:pPr>
        <w:rPr>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627"/>
      </w:tblGrid>
      <w:tr w:rsidR="00EC5779" w:rsidRPr="00EC5779" w:rsidTr="00EC5779">
        <w:trPr>
          <w:trHeight w:val="1389"/>
        </w:trPr>
        <w:tc>
          <w:tcPr>
            <w:tcW w:w="9627" w:type="dxa"/>
          </w:tcPr>
          <w:p w:rsidR="00666570" w:rsidRDefault="00EC5779" w:rsidP="00666570">
            <w:pPr>
              <w:spacing w:before="60"/>
              <w:rPr>
                <w:rFonts w:cs="GillSans"/>
                <w:b/>
                <w:bCs/>
                <w:i/>
                <w:iCs/>
                <w:color w:val="000000"/>
                <w:lang w:val="en-US"/>
              </w:rPr>
            </w:pPr>
            <w:r w:rsidRPr="00EC5779">
              <w:rPr>
                <w:rFonts w:cs="GillSans"/>
                <w:b/>
                <w:bCs/>
                <w:i/>
                <w:iCs/>
                <w:color w:val="000000"/>
                <w:lang w:val="en-US"/>
              </w:rPr>
              <w:t>Objective</w:t>
            </w:r>
            <w:r w:rsidR="00666570">
              <w:rPr>
                <w:rFonts w:cs="GillSans"/>
                <w:b/>
                <w:bCs/>
                <w:i/>
                <w:iCs/>
                <w:color w:val="000000"/>
                <w:lang w:val="en-US"/>
              </w:rPr>
              <w:t>s of the Science-Policy Working Groups</w:t>
            </w:r>
            <w:r w:rsidR="00D76DE1">
              <w:rPr>
                <w:rFonts w:cs="GillSans"/>
                <w:b/>
                <w:bCs/>
                <w:i/>
                <w:iCs/>
                <w:color w:val="000000"/>
                <w:lang w:val="en-US"/>
              </w:rPr>
              <w:t xml:space="preserve"> (see </w:t>
            </w:r>
            <w:proofErr w:type="spellStart"/>
            <w:r w:rsidR="00D76DE1">
              <w:rPr>
                <w:rFonts w:cs="GillSans"/>
                <w:b/>
                <w:bCs/>
                <w:i/>
                <w:iCs/>
                <w:color w:val="000000"/>
                <w:lang w:val="en-US"/>
              </w:rPr>
              <w:t>programme</w:t>
            </w:r>
            <w:proofErr w:type="spellEnd"/>
            <w:r w:rsidR="00D76DE1">
              <w:rPr>
                <w:rFonts w:cs="GillSans"/>
                <w:b/>
                <w:bCs/>
                <w:i/>
                <w:iCs/>
                <w:color w:val="000000"/>
                <w:lang w:val="en-US"/>
              </w:rPr>
              <w:t>)</w:t>
            </w:r>
            <w:r w:rsidR="00666570">
              <w:rPr>
                <w:rFonts w:cs="GillSans"/>
                <w:b/>
                <w:bCs/>
                <w:i/>
                <w:iCs/>
                <w:color w:val="000000"/>
                <w:lang w:val="en-US"/>
              </w:rPr>
              <w:t>:</w:t>
            </w:r>
          </w:p>
          <w:p w:rsidR="00450836" w:rsidRPr="00450836" w:rsidRDefault="00450836" w:rsidP="00450836">
            <w:pPr>
              <w:pStyle w:val="ListParagraph"/>
              <w:numPr>
                <w:ilvl w:val="0"/>
                <w:numId w:val="2"/>
              </w:numPr>
              <w:spacing w:before="60"/>
              <w:rPr>
                <w:rFonts w:cs="GillSans"/>
                <w:color w:val="000000"/>
                <w:lang w:val="en-US"/>
              </w:rPr>
            </w:pPr>
            <w:r w:rsidRPr="00450836">
              <w:rPr>
                <w:rFonts w:cs="GillSans"/>
                <w:color w:val="000000"/>
                <w:lang w:val="en-US"/>
              </w:rPr>
              <w:t>To discuss how IW scientific advice can support regional cooperation meeting IW objectives;</w:t>
            </w:r>
          </w:p>
          <w:p w:rsidR="00666570" w:rsidRPr="00450836" w:rsidRDefault="00450836" w:rsidP="00450836">
            <w:pPr>
              <w:pStyle w:val="ListParagraph"/>
              <w:numPr>
                <w:ilvl w:val="0"/>
                <w:numId w:val="2"/>
              </w:numPr>
              <w:spacing w:before="60"/>
              <w:rPr>
                <w:rFonts w:cs="GillSans"/>
                <w:color w:val="000000"/>
                <w:lang w:val="en-US"/>
              </w:rPr>
            </w:pPr>
            <w:r w:rsidRPr="00450836">
              <w:rPr>
                <w:rFonts w:cs="GillSans"/>
                <w:color w:val="000000"/>
                <w:lang w:val="en-US"/>
              </w:rPr>
              <w:t>To consider whether there are generalizable and regionally transferable lessons (or gaps) from GEF supported work by IW water body supporting benefit generation and cooperation at the regional level.</w:t>
            </w:r>
          </w:p>
          <w:p w:rsidR="00EC5779" w:rsidRPr="00EC5779" w:rsidRDefault="00D76DE1" w:rsidP="00666570">
            <w:pPr>
              <w:spacing w:before="60"/>
              <w:rPr>
                <w:rFonts w:cs="GillSans"/>
                <w:color w:val="000000"/>
                <w:lang w:val="en-US"/>
              </w:rPr>
            </w:pPr>
            <w:r>
              <w:rPr>
                <w:rFonts w:cs="GillSans"/>
                <w:b/>
                <w:bCs/>
                <w:i/>
                <w:iCs/>
                <w:color w:val="000000"/>
                <w:lang w:val="en-US"/>
              </w:rPr>
              <w:t xml:space="preserve">Expected Outputs (see </w:t>
            </w:r>
            <w:proofErr w:type="spellStart"/>
            <w:r>
              <w:rPr>
                <w:rFonts w:cs="GillSans"/>
                <w:b/>
                <w:bCs/>
                <w:i/>
                <w:iCs/>
                <w:color w:val="000000"/>
                <w:lang w:val="en-US"/>
              </w:rPr>
              <w:t>programme</w:t>
            </w:r>
            <w:proofErr w:type="spellEnd"/>
            <w:r>
              <w:rPr>
                <w:rFonts w:cs="GillSans"/>
                <w:b/>
                <w:bCs/>
                <w:i/>
                <w:iCs/>
                <w:color w:val="000000"/>
                <w:lang w:val="en-US"/>
              </w:rPr>
              <w:t>)</w:t>
            </w:r>
            <w:r w:rsidR="00EC5779" w:rsidRPr="00EC5779">
              <w:rPr>
                <w:rFonts w:cs="GillSans"/>
                <w:b/>
                <w:bCs/>
                <w:i/>
                <w:iCs/>
                <w:color w:val="000000"/>
                <w:lang w:val="en-US"/>
              </w:rPr>
              <w:t xml:space="preserve">: </w:t>
            </w:r>
          </w:p>
          <w:p w:rsidR="00450836" w:rsidRPr="00450836" w:rsidRDefault="00450836" w:rsidP="00450836">
            <w:pPr>
              <w:pStyle w:val="ListParagraph"/>
              <w:numPr>
                <w:ilvl w:val="0"/>
                <w:numId w:val="2"/>
              </w:numPr>
              <w:spacing w:before="60" w:after="40"/>
              <w:rPr>
                <w:rFonts w:cs="GillSans"/>
                <w:color w:val="000000"/>
                <w:lang w:val="en-US"/>
              </w:rPr>
            </w:pPr>
            <w:r w:rsidRPr="00450836">
              <w:rPr>
                <w:rFonts w:cs="GillSans"/>
                <w:color w:val="000000"/>
                <w:lang w:val="en-US"/>
              </w:rPr>
              <w:t>Recommendations on strategies for IW science to address gaps in support of regional cooperation meeting IW objectives;</w:t>
            </w:r>
          </w:p>
          <w:p w:rsidR="00EC5779" w:rsidRPr="00450836" w:rsidRDefault="00450836" w:rsidP="00450836">
            <w:pPr>
              <w:pStyle w:val="ListParagraph"/>
              <w:numPr>
                <w:ilvl w:val="0"/>
                <w:numId w:val="2"/>
              </w:numPr>
              <w:spacing w:before="60" w:after="40"/>
              <w:rPr>
                <w:rFonts w:cs="GillSans"/>
                <w:color w:val="000000"/>
                <w:lang w:val="en-US"/>
              </w:rPr>
            </w:pPr>
            <w:r w:rsidRPr="00450836">
              <w:rPr>
                <w:rFonts w:cs="GillSans"/>
                <w:color w:val="000000"/>
                <w:lang w:val="en-US"/>
              </w:rPr>
              <w:t>Recommendations on capacity building likely to enhance the cross-disciplinary technical and political capacity of scientific advice in fulfilling the needs of regional intergovernmental commissions or other regional collaboration bodies.</w:t>
            </w:r>
          </w:p>
          <w:p w:rsidR="00666570" w:rsidRPr="00EC5779" w:rsidRDefault="00666570" w:rsidP="00666570">
            <w:pPr>
              <w:spacing w:before="60" w:after="40"/>
              <w:ind w:hanging="180"/>
              <w:rPr>
                <w:rFonts w:cs="GillSans"/>
                <w:color w:val="000000"/>
                <w:lang w:val="en-US"/>
              </w:rPr>
            </w:pPr>
          </w:p>
        </w:tc>
      </w:tr>
    </w:tbl>
    <w:tbl>
      <w:tblPr>
        <w:tblStyle w:val="TableGrid"/>
        <w:tblW w:w="0" w:type="auto"/>
        <w:tblInd w:w="720" w:type="dxa"/>
        <w:tblLook w:val="04A0" w:firstRow="1" w:lastRow="0" w:firstColumn="1" w:lastColumn="0" w:noHBand="0" w:noVBand="1"/>
      </w:tblPr>
      <w:tblGrid>
        <w:gridCol w:w="3216"/>
        <w:gridCol w:w="6615"/>
      </w:tblGrid>
      <w:tr w:rsidR="00316FBC" w:rsidRPr="00243152" w:rsidTr="004D584D">
        <w:tc>
          <w:tcPr>
            <w:tcW w:w="3216" w:type="dxa"/>
          </w:tcPr>
          <w:p w:rsidR="00316FBC" w:rsidRPr="00C61735" w:rsidRDefault="00E64EED" w:rsidP="004D584D">
            <w:pPr>
              <w:ind w:left="0"/>
              <w:jc w:val="left"/>
              <w:rPr>
                <w:szCs w:val="24"/>
                <w:lang w:val="en-US"/>
              </w:rPr>
            </w:pPr>
            <w:r w:rsidRPr="00C61735">
              <w:rPr>
                <w:szCs w:val="24"/>
                <w:lang w:val="en-US"/>
              </w:rPr>
              <w:t xml:space="preserve">Three key </w:t>
            </w:r>
            <w:r w:rsidR="0089194C" w:rsidRPr="00C61735">
              <w:rPr>
                <w:szCs w:val="24"/>
                <w:lang w:val="en-US"/>
              </w:rPr>
              <w:t>messages</w:t>
            </w:r>
            <w:r w:rsidR="004D584D" w:rsidRPr="00C61735">
              <w:rPr>
                <w:szCs w:val="24"/>
                <w:lang w:val="en-US"/>
              </w:rPr>
              <w:t>/findings</w:t>
            </w:r>
          </w:p>
          <w:p w:rsidR="00243152" w:rsidRPr="00C61735" w:rsidRDefault="00243152" w:rsidP="004D584D">
            <w:pPr>
              <w:ind w:left="0"/>
              <w:jc w:val="left"/>
              <w:rPr>
                <w:i/>
                <w:szCs w:val="24"/>
                <w:lang w:val="en-US"/>
              </w:rPr>
            </w:pPr>
            <w:r w:rsidRPr="00C61735">
              <w:rPr>
                <w:i/>
                <w:szCs w:val="24"/>
                <w:lang w:val="en-US"/>
              </w:rPr>
              <w:t>(to be provided right after the session)</w:t>
            </w:r>
          </w:p>
        </w:tc>
        <w:tc>
          <w:tcPr>
            <w:tcW w:w="6615" w:type="dxa"/>
          </w:tcPr>
          <w:p w:rsidR="00A95DA0" w:rsidRDefault="00A95DA0" w:rsidP="00A95DA0">
            <w:pPr>
              <w:ind w:left="360"/>
              <w:jc w:val="left"/>
              <w:rPr>
                <w:szCs w:val="24"/>
                <w:lang w:val="en-US"/>
              </w:rPr>
            </w:pPr>
            <w:r w:rsidRPr="00C61735">
              <w:rPr>
                <w:szCs w:val="24"/>
                <w:lang w:val="en-US"/>
              </w:rPr>
              <w:t xml:space="preserve">Observation: that the 1995 IW goal built </w:t>
            </w:r>
            <w:r w:rsidR="00E072CC">
              <w:rPr>
                <w:szCs w:val="24"/>
                <w:lang w:val="en-US"/>
              </w:rPr>
              <w:t xml:space="preserve">also </w:t>
            </w:r>
            <w:r w:rsidRPr="00C61735">
              <w:rPr>
                <w:szCs w:val="24"/>
                <w:lang w:val="en-US"/>
              </w:rPr>
              <w:t>into the current GEF strategy</w:t>
            </w:r>
            <w:r w:rsidR="00E072CC">
              <w:rPr>
                <w:szCs w:val="24"/>
                <w:lang w:val="en-US"/>
              </w:rPr>
              <w:t xml:space="preserve"> (2010-2014)</w:t>
            </w:r>
            <w:r w:rsidRPr="00C61735">
              <w:rPr>
                <w:szCs w:val="24"/>
                <w:lang w:val="en-US"/>
              </w:rPr>
              <w:t>, provides a sound foundation for transboundary collective action</w:t>
            </w:r>
            <w:r w:rsidR="00E072CC">
              <w:rPr>
                <w:szCs w:val="24"/>
                <w:lang w:val="en-US"/>
              </w:rPr>
              <w:t xml:space="preserve"> and is an </w:t>
            </w:r>
            <w:r w:rsidRPr="00C61735">
              <w:rPr>
                <w:szCs w:val="24"/>
                <w:lang w:val="en-US"/>
              </w:rPr>
              <w:t>agreement between North/South</w:t>
            </w:r>
            <w:r w:rsidR="00E072CC">
              <w:rPr>
                <w:szCs w:val="24"/>
                <w:lang w:val="en-US"/>
              </w:rPr>
              <w:t xml:space="preserve"> to address the management of common pool resources.</w:t>
            </w:r>
          </w:p>
          <w:p w:rsidR="00E072CC" w:rsidRPr="00C61735" w:rsidRDefault="00E072CC" w:rsidP="00A95DA0">
            <w:pPr>
              <w:ind w:left="360"/>
              <w:jc w:val="left"/>
              <w:rPr>
                <w:szCs w:val="24"/>
                <w:lang w:val="en-US"/>
              </w:rPr>
            </w:pPr>
          </w:p>
          <w:p w:rsidR="00316FBC" w:rsidRPr="00C61735" w:rsidRDefault="00DF6BC3" w:rsidP="00EA4112">
            <w:pPr>
              <w:pStyle w:val="ListParagraph"/>
              <w:numPr>
                <w:ilvl w:val="0"/>
                <w:numId w:val="4"/>
              </w:numPr>
              <w:jc w:val="left"/>
              <w:rPr>
                <w:szCs w:val="24"/>
                <w:lang w:val="en-US"/>
              </w:rPr>
            </w:pPr>
            <w:r w:rsidRPr="00C61735">
              <w:rPr>
                <w:szCs w:val="24"/>
                <w:lang w:val="en-US"/>
              </w:rPr>
              <w:t>S</w:t>
            </w:r>
            <w:r w:rsidR="006C01AB" w:rsidRPr="00C61735">
              <w:rPr>
                <w:szCs w:val="24"/>
                <w:lang w:val="en-US"/>
              </w:rPr>
              <w:t>cientific evidence</w:t>
            </w:r>
            <w:r w:rsidR="00E072CC">
              <w:rPr>
                <w:szCs w:val="24"/>
                <w:lang w:val="en-US"/>
              </w:rPr>
              <w:t xml:space="preserve"> as developed through GEF financed projects addressing</w:t>
            </w:r>
            <w:r w:rsidR="006C01AB" w:rsidRPr="00C61735">
              <w:rPr>
                <w:szCs w:val="24"/>
                <w:lang w:val="en-US"/>
              </w:rPr>
              <w:t xml:space="preserve"> transboundary stocks and flows</w:t>
            </w:r>
            <w:r w:rsidRPr="00C61735">
              <w:rPr>
                <w:szCs w:val="24"/>
                <w:lang w:val="en-US"/>
              </w:rPr>
              <w:t xml:space="preserve"> </w:t>
            </w:r>
            <w:r w:rsidR="006C01AB" w:rsidRPr="00C61735">
              <w:rPr>
                <w:szCs w:val="24"/>
                <w:lang w:val="en-US"/>
              </w:rPr>
              <w:t>is</w:t>
            </w:r>
            <w:r w:rsidRPr="00C61735">
              <w:rPr>
                <w:szCs w:val="24"/>
                <w:lang w:val="en-US"/>
              </w:rPr>
              <w:t xml:space="preserve"> </w:t>
            </w:r>
            <w:r w:rsidR="006C01AB" w:rsidRPr="00C61735">
              <w:rPr>
                <w:szCs w:val="24"/>
                <w:lang w:val="en-US"/>
              </w:rPr>
              <w:t>catalytic</w:t>
            </w:r>
            <w:r w:rsidRPr="00C61735">
              <w:rPr>
                <w:szCs w:val="24"/>
                <w:lang w:val="en-US"/>
              </w:rPr>
              <w:t xml:space="preserve"> </w:t>
            </w:r>
            <w:r w:rsidR="006C01AB" w:rsidRPr="00C61735">
              <w:rPr>
                <w:szCs w:val="24"/>
                <w:lang w:val="en-US"/>
              </w:rPr>
              <w:t>in generating</w:t>
            </w:r>
            <w:r w:rsidRPr="00C61735">
              <w:rPr>
                <w:szCs w:val="24"/>
                <w:lang w:val="en-US"/>
              </w:rPr>
              <w:t xml:space="preserve"> compelling evidence </w:t>
            </w:r>
            <w:r w:rsidR="006C01AB" w:rsidRPr="00C61735">
              <w:rPr>
                <w:szCs w:val="24"/>
                <w:lang w:val="en-US"/>
              </w:rPr>
              <w:t>and</w:t>
            </w:r>
            <w:r w:rsidR="00E072CC">
              <w:rPr>
                <w:szCs w:val="24"/>
                <w:lang w:val="en-US"/>
              </w:rPr>
              <w:t xml:space="preserve"> thereby providing</w:t>
            </w:r>
            <w:r w:rsidR="006C01AB" w:rsidRPr="00C61735">
              <w:rPr>
                <w:szCs w:val="24"/>
                <w:lang w:val="en-US"/>
              </w:rPr>
              <w:t xml:space="preserve"> incentives for collective action</w:t>
            </w:r>
            <w:r w:rsidR="00E072CC">
              <w:rPr>
                <w:szCs w:val="24"/>
                <w:lang w:val="en-US"/>
              </w:rPr>
              <w:t xml:space="preserve"> by riparian states.</w:t>
            </w:r>
          </w:p>
          <w:p w:rsidR="00E64EED" w:rsidRPr="00C61735" w:rsidRDefault="00E64EED" w:rsidP="00EA4112">
            <w:pPr>
              <w:ind w:left="0"/>
              <w:jc w:val="left"/>
              <w:rPr>
                <w:szCs w:val="24"/>
                <w:lang w:val="en-US"/>
              </w:rPr>
            </w:pPr>
          </w:p>
          <w:p w:rsidR="00E64EED" w:rsidRPr="00C61735" w:rsidRDefault="00DF6BC3" w:rsidP="00EA4112">
            <w:pPr>
              <w:pStyle w:val="ListParagraph"/>
              <w:numPr>
                <w:ilvl w:val="0"/>
                <w:numId w:val="4"/>
              </w:numPr>
              <w:jc w:val="left"/>
              <w:rPr>
                <w:szCs w:val="24"/>
                <w:lang w:val="en-US"/>
              </w:rPr>
            </w:pPr>
            <w:r w:rsidRPr="00C61735">
              <w:rPr>
                <w:szCs w:val="24"/>
                <w:lang w:val="en-US"/>
              </w:rPr>
              <w:t xml:space="preserve">Non-project GEF catalytic interventions </w:t>
            </w:r>
            <w:r w:rsidR="006C01AB" w:rsidRPr="00C61735">
              <w:rPr>
                <w:szCs w:val="24"/>
                <w:lang w:val="en-US"/>
              </w:rPr>
              <w:t>in the political/economic sphere</w:t>
            </w:r>
            <w:r w:rsidR="00E072CC">
              <w:rPr>
                <w:szCs w:val="24"/>
                <w:lang w:val="en-US"/>
              </w:rPr>
              <w:t xml:space="preserve"> including</w:t>
            </w:r>
            <w:r w:rsidR="00E42475">
              <w:rPr>
                <w:szCs w:val="24"/>
                <w:lang w:val="en-US"/>
              </w:rPr>
              <w:t xml:space="preserve"> </w:t>
            </w:r>
            <w:r w:rsidR="006C01AB" w:rsidRPr="00C61735">
              <w:rPr>
                <w:szCs w:val="24"/>
                <w:lang w:val="en-US"/>
              </w:rPr>
              <w:t xml:space="preserve">environmental diplomacy </w:t>
            </w:r>
            <w:r w:rsidRPr="00C61735">
              <w:rPr>
                <w:szCs w:val="24"/>
                <w:lang w:val="en-US"/>
              </w:rPr>
              <w:t xml:space="preserve">can create regional </w:t>
            </w:r>
            <w:r w:rsidR="006C01AB" w:rsidRPr="00C61735">
              <w:rPr>
                <w:szCs w:val="24"/>
                <w:lang w:val="en-US"/>
              </w:rPr>
              <w:t xml:space="preserve">cooperative </w:t>
            </w:r>
            <w:r w:rsidRPr="00C61735">
              <w:rPr>
                <w:szCs w:val="24"/>
                <w:lang w:val="en-US"/>
              </w:rPr>
              <w:t>opportunities</w:t>
            </w:r>
            <w:r w:rsidR="00E072CC">
              <w:rPr>
                <w:szCs w:val="24"/>
                <w:lang w:val="en-US"/>
              </w:rPr>
              <w:t>, such inte</w:t>
            </w:r>
            <w:r w:rsidR="00E42475">
              <w:rPr>
                <w:szCs w:val="24"/>
                <w:lang w:val="en-US"/>
              </w:rPr>
              <w:t xml:space="preserve">rventions could be explored by </w:t>
            </w:r>
            <w:bookmarkStart w:id="0" w:name="_GoBack"/>
            <w:bookmarkEnd w:id="0"/>
            <w:r w:rsidR="00E072CC">
              <w:rPr>
                <w:szCs w:val="24"/>
                <w:lang w:val="en-US"/>
              </w:rPr>
              <w:t>the GEF for the GEF 6 period.</w:t>
            </w:r>
          </w:p>
          <w:p w:rsidR="00EA4112" w:rsidRPr="00C61735" w:rsidRDefault="00EA4112" w:rsidP="00EA4112">
            <w:pPr>
              <w:pStyle w:val="ListParagraph"/>
              <w:numPr>
                <w:ilvl w:val="1"/>
                <w:numId w:val="4"/>
              </w:numPr>
              <w:jc w:val="left"/>
              <w:rPr>
                <w:szCs w:val="24"/>
                <w:lang w:val="en-US"/>
              </w:rPr>
            </w:pPr>
            <w:r w:rsidRPr="00C61735">
              <w:rPr>
                <w:szCs w:val="24"/>
                <w:lang w:val="en-US"/>
              </w:rPr>
              <w:t>From the technical domain to the political/economic domain</w:t>
            </w:r>
          </w:p>
          <w:p w:rsidR="00E64EED" w:rsidRPr="00C61735" w:rsidRDefault="00E64EED" w:rsidP="00EA4112">
            <w:pPr>
              <w:ind w:left="0"/>
              <w:jc w:val="left"/>
              <w:rPr>
                <w:szCs w:val="24"/>
                <w:lang w:val="en-US"/>
              </w:rPr>
            </w:pPr>
          </w:p>
          <w:p w:rsidR="00D46033" w:rsidRPr="00C61735" w:rsidRDefault="00E072CC" w:rsidP="00D46033">
            <w:pPr>
              <w:pStyle w:val="ListParagraph"/>
              <w:numPr>
                <w:ilvl w:val="0"/>
                <w:numId w:val="4"/>
              </w:numPr>
              <w:jc w:val="left"/>
              <w:rPr>
                <w:szCs w:val="24"/>
                <w:lang w:val="en-US"/>
              </w:rPr>
            </w:pPr>
            <w:r>
              <w:rPr>
                <w:szCs w:val="24"/>
                <w:lang w:val="en-US"/>
              </w:rPr>
              <w:t>The</w:t>
            </w:r>
            <w:r w:rsidR="00D46033" w:rsidRPr="00C61735">
              <w:rPr>
                <w:szCs w:val="24"/>
                <w:lang w:val="en-US"/>
              </w:rPr>
              <w:t xml:space="preserve"> GEF </w:t>
            </w:r>
            <w:r>
              <w:rPr>
                <w:szCs w:val="24"/>
                <w:lang w:val="en-US"/>
              </w:rPr>
              <w:t xml:space="preserve">should be re-positioned to address the </w:t>
            </w:r>
            <w:r w:rsidR="00D46033" w:rsidRPr="00C61735">
              <w:rPr>
                <w:szCs w:val="24"/>
                <w:lang w:val="en-US"/>
              </w:rPr>
              <w:t xml:space="preserve">realities of </w:t>
            </w:r>
            <w:r>
              <w:rPr>
                <w:szCs w:val="24"/>
                <w:lang w:val="en-US"/>
              </w:rPr>
              <w:t xml:space="preserve">ongoing </w:t>
            </w:r>
            <w:r w:rsidR="00D46033" w:rsidRPr="00C61735">
              <w:rPr>
                <w:szCs w:val="24"/>
                <w:lang w:val="en-US"/>
              </w:rPr>
              <w:t>regionalization</w:t>
            </w:r>
            <w:r>
              <w:rPr>
                <w:szCs w:val="24"/>
                <w:lang w:val="en-US"/>
              </w:rPr>
              <w:t xml:space="preserve"> processes running in parallel to global in preparation for the 6</w:t>
            </w:r>
            <w:r w:rsidRPr="00707CA0">
              <w:rPr>
                <w:szCs w:val="24"/>
                <w:vertAlign w:val="superscript"/>
                <w:lang w:val="en-US"/>
              </w:rPr>
              <w:t>th</w:t>
            </w:r>
            <w:r>
              <w:rPr>
                <w:szCs w:val="24"/>
                <w:lang w:val="en-US"/>
              </w:rPr>
              <w:t xml:space="preserve"> replenishment period.</w:t>
            </w:r>
          </w:p>
          <w:p w:rsidR="006C01AB" w:rsidRPr="00C61735" w:rsidRDefault="006C01AB" w:rsidP="00D46033">
            <w:pPr>
              <w:pStyle w:val="ListParagraph"/>
              <w:numPr>
                <w:ilvl w:val="1"/>
                <w:numId w:val="4"/>
              </w:numPr>
              <w:jc w:val="left"/>
              <w:rPr>
                <w:szCs w:val="24"/>
                <w:lang w:val="en-US"/>
              </w:rPr>
            </w:pPr>
            <w:r w:rsidRPr="00C61735">
              <w:rPr>
                <w:szCs w:val="24"/>
                <w:lang w:val="en-US"/>
              </w:rPr>
              <w:t>Leveraging regional economic institutions is key to ensure sustainability beyond the catalytic GEF intervention</w:t>
            </w:r>
          </w:p>
          <w:p w:rsidR="00243152" w:rsidRPr="00C61735" w:rsidRDefault="00935A37" w:rsidP="00D46033">
            <w:pPr>
              <w:pStyle w:val="ListParagraph"/>
              <w:numPr>
                <w:ilvl w:val="1"/>
                <w:numId w:val="4"/>
              </w:numPr>
              <w:jc w:val="left"/>
              <w:rPr>
                <w:szCs w:val="24"/>
                <w:lang w:val="en-US"/>
              </w:rPr>
            </w:pPr>
            <w:r>
              <w:rPr>
                <w:szCs w:val="24"/>
                <w:lang w:val="en-US"/>
              </w:rPr>
              <w:lastRenderedPageBreak/>
              <w:t xml:space="preserve">The </w:t>
            </w:r>
            <w:r w:rsidR="00DF6BC3" w:rsidRPr="00C61735">
              <w:rPr>
                <w:szCs w:val="24"/>
                <w:lang w:val="en-US"/>
              </w:rPr>
              <w:t xml:space="preserve">TDA/SAP </w:t>
            </w:r>
            <w:r>
              <w:rPr>
                <w:szCs w:val="24"/>
                <w:lang w:val="en-US"/>
              </w:rPr>
              <w:t xml:space="preserve">process </w:t>
            </w:r>
            <w:r w:rsidR="00DF6BC3" w:rsidRPr="00C61735">
              <w:rPr>
                <w:szCs w:val="24"/>
                <w:lang w:val="en-US"/>
              </w:rPr>
              <w:t>could be augmented to widen the evidence base underpinning policy impact and post-project up</w:t>
            </w:r>
            <w:r>
              <w:rPr>
                <w:szCs w:val="24"/>
                <w:lang w:val="en-US"/>
              </w:rPr>
              <w:t>-</w:t>
            </w:r>
            <w:r w:rsidR="00DF6BC3" w:rsidRPr="00C61735">
              <w:rPr>
                <w:szCs w:val="24"/>
                <w:lang w:val="en-US"/>
              </w:rPr>
              <w:t>scaling of GEF results</w:t>
            </w:r>
            <w:r>
              <w:rPr>
                <w:szCs w:val="24"/>
                <w:lang w:val="en-US"/>
              </w:rPr>
              <w:t xml:space="preserve">, upstream activities addressing the political economy of cooperation could be included. </w:t>
            </w:r>
          </w:p>
        </w:tc>
      </w:tr>
      <w:tr w:rsidR="00316FBC" w:rsidRPr="00EC5779" w:rsidTr="004D584D">
        <w:tc>
          <w:tcPr>
            <w:tcW w:w="3216" w:type="dxa"/>
          </w:tcPr>
          <w:p w:rsidR="00316FBC" w:rsidRPr="00C61735" w:rsidRDefault="00243152" w:rsidP="004D584D">
            <w:pPr>
              <w:ind w:left="0"/>
              <w:jc w:val="left"/>
              <w:rPr>
                <w:szCs w:val="24"/>
                <w:lang w:val="en-US"/>
              </w:rPr>
            </w:pPr>
            <w:r w:rsidRPr="00C61735">
              <w:rPr>
                <w:szCs w:val="24"/>
                <w:lang w:val="en-US"/>
              </w:rPr>
              <w:lastRenderedPageBreak/>
              <w:t xml:space="preserve">Written </w:t>
            </w:r>
            <w:r w:rsidR="004D584D" w:rsidRPr="00C61735">
              <w:rPr>
                <w:szCs w:val="24"/>
                <w:lang w:val="en-US"/>
              </w:rPr>
              <w:t>summary</w:t>
            </w:r>
            <w:r w:rsidRPr="00C61735">
              <w:rPr>
                <w:szCs w:val="24"/>
                <w:lang w:val="en-US"/>
              </w:rPr>
              <w:t xml:space="preserve"> </w:t>
            </w:r>
            <w:r w:rsidR="00E64EED" w:rsidRPr="00C61735">
              <w:rPr>
                <w:szCs w:val="24"/>
                <w:lang w:val="en-US"/>
              </w:rPr>
              <w:t xml:space="preserve">on the contents </w:t>
            </w:r>
            <w:r w:rsidRPr="00C61735">
              <w:rPr>
                <w:i/>
                <w:szCs w:val="24"/>
                <w:lang w:val="en-US"/>
              </w:rPr>
              <w:t>(around 500 words</w:t>
            </w:r>
            <w:r w:rsidR="00E64EED" w:rsidRPr="00C61735">
              <w:rPr>
                <w:i/>
                <w:szCs w:val="24"/>
                <w:lang w:val="en-US"/>
              </w:rPr>
              <w:t xml:space="preserve"> max</w:t>
            </w:r>
            <w:r w:rsidRPr="00C61735">
              <w:rPr>
                <w:i/>
                <w:szCs w:val="24"/>
                <w:lang w:val="en-US"/>
              </w:rPr>
              <w:t>)</w:t>
            </w:r>
          </w:p>
          <w:p w:rsidR="00243152" w:rsidRPr="00C61735" w:rsidRDefault="00243152">
            <w:pPr>
              <w:ind w:left="0"/>
              <w:rPr>
                <w:szCs w:val="24"/>
                <w:lang w:val="en-US"/>
              </w:rPr>
            </w:pPr>
          </w:p>
        </w:tc>
        <w:tc>
          <w:tcPr>
            <w:tcW w:w="6615" w:type="dxa"/>
          </w:tcPr>
          <w:p w:rsidR="00316FBC" w:rsidRPr="00C61735" w:rsidRDefault="00CC203E" w:rsidP="001E0902">
            <w:pPr>
              <w:ind w:left="0"/>
              <w:jc w:val="left"/>
              <w:rPr>
                <w:szCs w:val="24"/>
                <w:lang w:val="en-US"/>
              </w:rPr>
            </w:pPr>
            <w:r w:rsidRPr="00C61735">
              <w:rPr>
                <w:szCs w:val="24"/>
                <w:lang w:val="en-US"/>
              </w:rPr>
              <w:t xml:space="preserve">The session, chaired by Jakob Granit, opened with a reflection on key barriers and options for policy support for regional cooperation raised in the five thematic sessions in Day 1.  Raymond </w:t>
            </w:r>
            <w:proofErr w:type="spellStart"/>
            <w:r w:rsidRPr="00C61735">
              <w:rPr>
                <w:szCs w:val="24"/>
                <w:lang w:val="en-US"/>
              </w:rPr>
              <w:t>Mngodo</w:t>
            </w:r>
            <w:proofErr w:type="spellEnd"/>
            <w:r w:rsidR="00F44FFA" w:rsidRPr="00C61735">
              <w:rPr>
                <w:szCs w:val="24"/>
                <w:lang w:val="en-US"/>
              </w:rPr>
              <w:t xml:space="preserve"> (Lake Victoria Basin </w:t>
            </w:r>
            <w:r w:rsidR="00590E01" w:rsidRPr="00C61735">
              <w:rPr>
                <w:szCs w:val="24"/>
                <w:lang w:val="en-US"/>
              </w:rPr>
              <w:t>Commission</w:t>
            </w:r>
            <w:r w:rsidR="00F44FFA" w:rsidRPr="00C61735">
              <w:rPr>
                <w:szCs w:val="24"/>
                <w:lang w:val="en-US"/>
              </w:rPr>
              <w:t>)</w:t>
            </w:r>
            <w:r w:rsidRPr="00C61735">
              <w:rPr>
                <w:szCs w:val="24"/>
                <w:lang w:val="en-US"/>
              </w:rPr>
              <w:t xml:space="preserve"> and Cletus Springer</w:t>
            </w:r>
            <w:r w:rsidR="00F44FFA" w:rsidRPr="00C61735">
              <w:rPr>
                <w:szCs w:val="24"/>
                <w:lang w:val="en-US"/>
              </w:rPr>
              <w:t xml:space="preserve"> (Organization of American States)</w:t>
            </w:r>
            <w:r w:rsidRPr="00C61735">
              <w:rPr>
                <w:szCs w:val="24"/>
                <w:lang w:val="en-US"/>
              </w:rPr>
              <w:t xml:space="preserve"> </w:t>
            </w:r>
            <w:r w:rsidR="00F44FFA" w:rsidRPr="00C61735">
              <w:rPr>
                <w:szCs w:val="24"/>
                <w:lang w:val="en-US"/>
              </w:rPr>
              <w:t xml:space="preserve">respectively identified how support for </w:t>
            </w:r>
            <w:r w:rsidR="00666258" w:rsidRPr="00C61735">
              <w:rPr>
                <w:szCs w:val="24"/>
                <w:lang w:val="en-US"/>
              </w:rPr>
              <w:t xml:space="preserve">successful </w:t>
            </w:r>
            <w:r w:rsidR="00F44FFA" w:rsidRPr="00C61735">
              <w:rPr>
                <w:szCs w:val="24"/>
                <w:lang w:val="en-US"/>
              </w:rPr>
              <w:t>regional cooperation was achieved.</w:t>
            </w:r>
            <w:r w:rsidRPr="00C61735">
              <w:rPr>
                <w:szCs w:val="24"/>
                <w:lang w:val="en-US"/>
              </w:rPr>
              <w:t xml:space="preserve">  </w:t>
            </w:r>
            <w:r w:rsidR="00F44FFA" w:rsidRPr="00C61735">
              <w:rPr>
                <w:szCs w:val="24"/>
                <w:lang w:val="en-US"/>
              </w:rPr>
              <w:t>The findings of the session were that:</w:t>
            </w:r>
          </w:p>
          <w:p w:rsidR="0034699C" w:rsidRPr="00C61735" w:rsidRDefault="00F44FFA" w:rsidP="001E0902">
            <w:pPr>
              <w:ind w:left="0"/>
              <w:jc w:val="left"/>
              <w:rPr>
                <w:szCs w:val="24"/>
                <w:lang w:val="en-US"/>
              </w:rPr>
            </w:pPr>
            <w:r w:rsidRPr="00C61735">
              <w:rPr>
                <w:szCs w:val="24"/>
                <w:lang w:val="en-US"/>
              </w:rPr>
              <w:t>Transboundary collaboration was initiated by local demand</w:t>
            </w:r>
            <w:r w:rsidR="00666258" w:rsidRPr="00C61735">
              <w:rPr>
                <w:szCs w:val="24"/>
                <w:lang w:val="en-US"/>
              </w:rPr>
              <w:t xml:space="preserve"> to solve transboundary problems</w:t>
            </w:r>
            <w:r w:rsidRPr="00C61735">
              <w:rPr>
                <w:szCs w:val="24"/>
                <w:lang w:val="en-US"/>
              </w:rPr>
              <w:t xml:space="preserve"> and</w:t>
            </w:r>
            <w:r w:rsidR="00666258" w:rsidRPr="00C61735">
              <w:rPr>
                <w:szCs w:val="24"/>
                <w:lang w:val="en-US"/>
              </w:rPr>
              <w:t xml:space="preserve"> confidence building on solutions was incremental, building on existing capacity and institutions.  Science to policy p</w:t>
            </w:r>
            <w:r w:rsidR="00C61735">
              <w:rPr>
                <w:szCs w:val="24"/>
                <w:lang w:val="en-US"/>
              </w:rPr>
              <w:t xml:space="preserve">rocesses </w:t>
            </w:r>
            <w:r w:rsidR="00371779">
              <w:rPr>
                <w:szCs w:val="24"/>
                <w:lang w:val="en-US"/>
              </w:rPr>
              <w:t xml:space="preserve">in some successful projects </w:t>
            </w:r>
            <w:r w:rsidR="00C61735">
              <w:rPr>
                <w:szCs w:val="24"/>
                <w:lang w:val="en-US"/>
              </w:rPr>
              <w:t>included translation</w:t>
            </w:r>
            <w:r w:rsidR="00666258" w:rsidRPr="00C61735">
              <w:rPr>
                <w:szCs w:val="24"/>
                <w:lang w:val="en-US"/>
              </w:rPr>
              <w:t xml:space="preserve"> and transboundary exchange of project findings before distillation into policy</w:t>
            </w:r>
            <w:r w:rsidR="0034699C" w:rsidRPr="00C61735">
              <w:rPr>
                <w:szCs w:val="24"/>
                <w:lang w:val="en-US"/>
              </w:rPr>
              <w:t xml:space="preserve">. </w:t>
            </w:r>
          </w:p>
          <w:p w:rsidR="0034699C" w:rsidRPr="00C61735" w:rsidRDefault="0034699C" w:rsidP="001E0902">
            <w:pPr>
              <w:ind w:left="0"/>
              <w:jc w:val="left"/>
              <w:rPr>
                <w:szCs w:val="24"/>
                <w:lang w:val="en-US"/>
              </w:rPr>
            </w:pPr>
            <w:r w:rsidRPr="00C61735">
              <w:rPr>
                <w:szCs w:val="24"/>
                <w:lang w:val="en-US"/>
              </w:rPr>
              <w:t xml:space="preserve">Participants (20+) contributed evidence for </w:t>
            </w:r>
            <w:r w:rsidR="00371779">
              <w:rPr>
                <w:szCs w:val="24"/>
                <w:lang w:val="en-US"/>
              </w:rPr>
              <w:t xml:space="preserve">the </w:t>
            </w:r>
            <w:r w:rsidRPr="00C61735">
              <w:rPr>
                <w:szCs w:val="24"/>
                <w:lang w:val="en-US"/>
              </w:rPr>
              <w:t>role of science in enabling collective action</w:t>
            </w:r>
            <w:r w:rsidR="00371779">
              <w:rPr>
                <w:szCs w:val="24"/>
                <w:lang w:val="en-US"/>
              </w:rPr>
              <w:t xml:space="preserve"> and highlighted</w:t>
            </w:r>
            <w:r w:rsidRPr="00C61735">
              <w:rPr>
                <w:szCs w:val="24"/>
                <w:lang w:val="en-US"/>
              </w:rPr>
              <w:t xml:space="preserve"> GEF’s role over long timescales in building confidence and platforms to cement regi</w:t>
            </w:r>
            <w:r w:rsidR="00371779">
              <w:rPr>
                <w:szCs w:val="24"/>
                <w:lang w:val="en-US"/>
              </w:rPr>
              <w:t>onal cooperation</w:t>
            </w:r>
            <w:r w:rsidR="001E0902" w:rsidRPr="00C61735">
              <w:rPr>
                <w:szCs w:val="24"/>
                <w:lang w:val="en-US"/>
              </w:rPr>
              <w:t>.</w:t>
            </w:r>
          </w:p>
          <w:p w:rsidR="007664AA" w:rsidRPr="00C61735" w:rsidRDefault="0034699C" w:rsidP="001E0902">
            <w:pPr>
              <w:ind w:left="0"/>
              <w:jc w:val="left"/>
              <w:rPr>
                <w:szCs w:val="24"/>
                <w:lang w:val="en-US"/>
              </w:rPr>
            </w:pPr>
            <w:r w:rsidRPr="00C61735">
              <w:rPr>
                <w:szCs w:val="24"/>
                <w:lang w:val="en-US"/>
              </w:rPr>
              <w:t xml:space="preserve">GEF’s tools and its facilitation are highly valued and proposals were made for enhancing </w:t>
            </w:r>
            <w:r w:rsidR="00371779">
              <w:rPr>
                <w:szCs w:val="24"/>
                <w:lang w:val="en-US"/>
              </w:rPr>
              <w:t>GEF’s</w:t>
            </w:r>
            <w:r w:rsidRPr="00C61735">
              <w:rPr>
                <w:szCs w:val="24"/>
                <w:lang w:val="en-US"/>
              </w:rPr>
              <w:t xml:space="preserve"> regional outreach and capacity regarding </w:t>
            </w:r>
            <w:r w:rsidR="007664AA" w:rsidRPr="00C61735">
              <w:rPr>
                <w:szCs w:val="24"/>
                <w:lang w:val="en-US"/>
              </w:rPr>
              <w:t xml:space="preserve">delivery of </w:t>
            </w:r>
            <w:r w:rsidRPr="00C61735">
              <w:rPr>
                <w:szCs w:val="24"/>
                <w:lang w:val="en-US"/>
              </w:rPr>
              <w:t>social and economic policy relevant science</w:t>
            </w:r>
            <w:r w:rsidR="00322FE9" w:rsidRPr="00C61735">
              <w:rPr>
                <w:szCs w:val="24"/>
                <w:lang w:val="en-US"/>
              </w:rPr>
              <w:t xml:space="preserve">. </w:t>
            </w:r>
          </w:p>
          <w:p w:rsidR="00935A37" w:rsidRDefault="00371779" w:rsidP="001E0902">
            <w:pPr>
              <w:ind w:left="0"/>
              <w:jc w:val="left"/>
              <w:rPr>
                <w:szCs w:val="24"/>
                <w:lang w:val="en-US"/>
              </w:rPr>
            </w:pPr>
            <w:r>
              <w:rPr>
                <w:szCs w:val="24"/>
                <w:lang w:val="en-US"/>
              </w:rPr>
              <w:t>T</w:t>
            </w:r>
            <w:r w:rsidR="00322FE9" w:rsidRPr="00C61735">
              <w:rPr>
                <w:szCs w:val="24"/>
                <w:lang w:val="en-US"/>
              </w:rPr>
              <w:t xml:space="preserve">he 1995 </w:t>
            </w:r>
            <w:r w:rsidR="007664AA" w:rsidRPr="00C61735">
              <w:rPr>
                <w:szCs w:val="24"/>
                <w:lang w:val="en-US"/>
              </w:rPr>
              <w:t xml:space="preserve">GEF </w:t>
            </w:r>
            <w:r w:rsidR="00322FE9" w:rsidRPr="00C61735">
              <w:rPr>
                <w:szCs w:val="24"/>
                <w:lang w:val="en-US"/>
              </w:rPr>
              <w:t>IW goal</w:t>
            </w:r>
            <w:r w:rsidR="007664AA" w:rsidRPr="00C61735">
              <w:rPr>
                <w:szCs w:val="24"/>
                <w:lang w:val="en-US"/>
              </w:rPr>
              <w:t xml:space="preserve"> (promotion of collective management), carried forward</w:t>
            </w:r>
            <w:r w:rsidR="00322FE9" w:rsidRPr="00C61735">
              <w:rPr>
                <w:szCs w:val="24"/>
                <w:lang w:val="en-US"/>
              </w:rPr>
              <w:t xml:space="preserve"> into the current GEF strategy, provides a sound foundation for transboundary collective action, and </w:t>
            </w:r>
            <w:r w:rsidR="001E0902" w:rsidRPr="00C61735">
              <w:rPr>
                <w:szCs w:val="24"/>
                <w:lang w:val="en-US"/>
              </w:rPr>
              <w:t>continues to be one of very few</w:t>
            </w:r>
            <w:r w:rsidR="00322FE9" w:rsidRPr="00C61735">
              <w:rPr>
                <w:szCs w:val="24"/>
                <w:lang w:val="en-US"/>
              </w:rPr>
              <w:t xml:space="preserve"> agreement</w:t>
            </w:r>
            <w:r w:rsidR="001E0902" w:rsidRPr="00C61735">
              <w:rPr>
                <w:szCs w:val="24"/>
                <w:lang w:val="en-US"/>
              </w:rPr>
              <w:t>s</w:t>
            </w:r>
            <w:r w:rsidR="00322FE9" w:rsidRPr="00C61735">
              <w:rPr>
                <w:szCs w:val="24"/>
                <w:lang w:val="en-US"/>
              </w:rPr>
              <w:t xml:space="preserve"> between North/South</w:t>
            </w:r>
            <w:r w:rsidR="00935A37">
              <w:rPr>
                <w:szCs w:val="24"/>
                <w:lang w:val="en-US"/>
              </w:rPr>
              <w:t xml:space="preserve"> that address common pool resources such as the oceans, aquifers and transboundary freshwater systems</w:t>
            </w:r>
            <w:r w:rsidR="00322FE9" w:rsidRPr="00C61735">
              <w:rPr>
                <w:szCs w:val="24"/>
                <w:lang w:val="en-US"/>
              </w:rPr>
              <w:t>.  This enables not only project-based science to be valued but policy-relevant science that transcends national and regional boundaries</w:t>
            </w:r>
            <w:r w:rsidR="007664AA" w:rsidRPr="00C61735">
              <w:rPr>
                <w:szCs w:val="24"/>
                <w:lang w:val="en-US"/>
              </w:rPr>
              <w:t xml:space="preserve">. </w:t>
            </w:r>
          </w:p>
          <w:p w:rsidR="00F44FFA" w:rsidRPr="00C61735" w:rsidRDefault="007664AA" w:rsidP="001E0902">
            <w:pPr>
              <w:ind w:left="0"/>
              <w:jc w:val="left"/>
              <w:rPr>
                <w:szCs w:val="24"/>
                <w:lang w:val="en-US"/>
              </w:rPr>
            </w:pPr>
            <w:r w:rsidRPr="00C61735">
              <w:rPr>
                <w:szCs w:val="24"/>
                <w:lang w:val="en-US"/>
              </w:rPr>
              <w:t xml:space="preserve">The working group </w:t>
            </w:r>
            <w:r w:rsidR="00322FE9" w:rsidRPr="00C61735">
              <w:rPr>
                <w:szCs w:val="24"/>
                <w:lang w:val="en-US"/>
              </w:rPr>
              <w:t>propos</w:t>
            </w:r>
            <w:r w:rsidR="003E1EC5" w:rsidRPr="00C61735">
              <w:rPr>
                <w:szCs w:val="24"/>
                <w:lang w:val="en-US"/>
              </w:rPr>
              <w:t>ed a role for GEF at non-projec</w:t>
            </w:r>
            <w:r w:rsidR="00322FE9" w:rsidRPr="00C61735">
              <w:rPr>
                <w:szCs w:val="24"/>
                <w:lang w:val="en-US"/>
              </w:rPr>
              <w:t xml:space="preserve">t level to assist in confidence building </w:t>
            </w:r>
            <w:r w:rsidR="00935A37">
              <w:rPr>
                <w:szCs w:val="24"/>
                <w:lang w:val="en-US"/>
              </w:rPr>
              <w:t xml:space="preserve">and environmental diplomacy </w:t>
            </w:r>
            <w:r w:rsidRPr="00C61735">
              <w:rPr>
                <w:szCs w:val="24"/>
                <w:lang w:val="en-US"/>
              </w:rPr>
              <w:t xml:space="preserve">across proposed intervention areas (including coasts, landscapes, </w:t>
            </w:r>
            <w:proofErr w:type="gramStart"/>
            <w:r w:rsidRPr="00C61735">
              <w:rPr>
                <w:szCs w:val="24"/>
                <w:lang w:val="en-US"/>
              </w:rPr>
              <w:t>watersheds</w:t>
            </w:r>
            <w:proofErr w:type="gramEnd"/>
            <w:r w:rsidRPr="00C61735">
              <w:rPr>
                <w:szCs w:val="24"/>
                <w:lang w:val="en-US"/>
              </w:rPr>
              <w:t xml:space="preserve">) </w:t>
            </w:r>
            <w:r w:rsidR="001E0902" w:rsidRPr="00C61735">
              <w:rPr>
                <w:szCs w:val="24"/>
                <w:lang w:val="en-US"/>
              </w:rPr>
              <w:t xml:space="preserve">also acting as an agent of change </w:t>
            </w:r>
            <w:r w:rsidR="00322FE9" w:rsidRPr="00C61735">
              <w:rPr>
                <w:szCs w:val="24"/>
                <w:lang w:val="en-US"/>
              </w:rPr>
              <w:t>and drawing on GEF’s existing expert contacts</w:t>
            </w:r>
            <w:r w:rsidRPr="00C61735">
              <w:rPr>
                <w:szCs w:val="24"/>
                <w:lang w:val="en-US"/>
              </w:rPr>
              <w:t xml:space="preserve"> to deliver </w:t>
            </w:r>
            <w:r w:rsidR="00935A37">
              <w:rPr>
                <w:szCs w:val="24"/>
                <w:lang w:val="en-US"/>
              </w:rPr>
              <w:t xml:space="preserve">relevant </w:t>
            </w:r>
            <w:r w:rsidRPr="00C61735">
              <w:rPr>
                <w:szCs w:val="24"/>
                <w:lang w:val="en-US"/>
              </w:rPr>
              <w:t>support</w:t>
            </w:r>
            <w:r w:rsidR="00322FE9" w:rsidRPr="00C61735">
              <w:rPr>
                <w:szCs w:val="24"/>
                <w:lang w:val="en-US"/>
              </w:rPr>
              <w:t>.</w:t>
            </w:r>
          </w:p>
          <w:p w:rsidR="00D918A3" w:rsidRPr="00C61735" w:rsidRDefault="00D918A3" w:rsidP="001E0902">
            <w:pPr>
              <w:ind w:left="0"/>
              <w:jc w:val="left"/>
              <w:rPr>
                <w:szCs w:val="24"/>
                <w:lang w:val="en-US"/>
              </w:rPr>
            </w:pPr>
            <w:r w:rsidRPr="00C61735">
              <w:rPr>
                <w:szCs w:val="24"/>
                <w:lang w:val="en-US"/>
              </w:rPr>
              <w:t xml:space="preserve">While the TDA/SAP tools are considered to be effective, some adjustments were proposed, including </w:t>
            </w:r>
            <w:r w:rsidR="001D1860" w:rsidRPr="00C61735">
              <w:rPr>
                <w:szCs w:val="24"/>
                <w:lang w:val="en-US"/>
              </w:rPr>
              <w:t>investing GEF-funded effort to understand processes, conflicts and understandings to achieve an effective enabling framework upstream of TDA formulation and if necessary to support the costs to bridge the period between TDA completion and SAP implementation</w:t>
            </w:r>
            <w:r w:rsidR="00344797" w:rsidRPr="00C61735">
              <w:rPr>
                <w:szCs w:val="24"/>
                <w:lang w:val="en-US"/>
              </w:rPr>
              <w:t>.  As part of the TDA process project implementers could also estimate the costs of non-cooperation.</w:t>
            </w:r>
          </w:p>
          <w:p w:rsidR="00F44FFA" w:rsidRPr="00C61735" w:rsidRDefault="00F44FFA" w:rsidP="001E0902">
            <w:pPr>
              <w:ind w:left="0"/>
              <w:jc w:val="left"/>
              <w:rPr>
                <w:szCs w:val="24"/>
                <w:lang w:val="en-US"/>
              </w:rPr>
            </w:pPr>
          </w:p>
          <w:p w:rsidR="00E64EED" w:rsidRPr="00C61735" w:rsidRDefault="00E64EED" w:rsidP="001E0902">
            <w:pPr>
              <w:ind w:left="0"/>
              <w:jc w:val="left"/>
              <w:rPr>
                <w:szCs w:val="24"/>
                <w:lang w:val="en-US"/>
              </w:rPr>
            </w:pPr>
          </w:p>
          <w:p w:rsidR="00E64EED" w:rsidRPr="00C61735" w:rsidRDefault="00E64EED" w:rsidP="001E0902">
            <w:pPr>
              <w:ind w:left="0"/>
              <w:jc w:val="left"/>
              <w:rPr>
                <w:szCs w:val="24"/>
                <w:lang w:val="en-US"/>
              </w:rPr>
            </w:pPr>
          </w:p>
          <w:p w:rsidR="00E64EED" w:rsidRPr="00C61735" w:rsidRDefault="00E64EED" w:rsidP="001E0902">
            <w:pPr>
              <w:ind w:left="0"/>
              <w:jc w:val="left"/>
              <w:rPr>
                <w:szCs w:val="24"/>
                <w:lang w:val="en-US"/>
              </w:rPr>
            </w:pPr>
          </w:p>
          <w:p w:rsidR="00E64EED" w:rsidRPr="00C61735" w:rsidRDefault="00E64EED" w:rsidP="001E0902">
            <w:pPr>
              <w:ind w:left="0"/>
              <w:jc w:val="left"/>
              <w:rPr>
                <w:szCs w:val="24"/>
                <w:lang w:val="en-US"/>
              </w:rPr>
            </w:pPr>
          </w:p>
          <w:p w:rsidR="00E64EED" w:rsidRPr="00C61735" w:rsidRDefault="00E64EED">
            <w:pPr>
              <w:ind w:left="0"/>
              <w:rPr>
                <w:szCs w:val="24"/>
                <w:lang w:val="en-US"/>
              </w:rPr>
            </w:pPr>
          </w:p>
        </w:tc>
      </w:tr>
      <w:tr w:rsidR="00EA2A6B" w:rsidRPr="00EC5779" w:rsidTr="004D584D">
        <w:tc>
          <w:tcPr>
            <w:tcW w:w="3216" w:type="dxa"/>
          </w:tcPr>
          <w:p w:rsidR="00EA2A6B" w:rsidRPr="00C61735" w:rsidRDefault="00666570" w:rsidP="004D584D">
            <w:pPr>
              <w:ind w:left="0"/>
              <w:jc w:val="left"/>
              <w:rPr>
                <w:szCs w:val="24"/>
                <w:lang w:val="en-US"/>
              </w:rPr>
            </w:pPr>
            <w:r w:rsidRPr="00C61735">
              <w:rPr>
                <w:szCs w:val="24"/>
                <w:lang w:val="en-US"/>
              </w:rPr>
              <w:t xml:space="preserve">Existing science/projects that fill </w:t>
            </w:r>
            <w:r w:rsidR="00EA2A6B" w:rsidRPr="00C61735">
              <w:rPr>
                <w:szCs w:val="24"/>
                <w:lang w:val="en-US"/>
              </w:rPr>
              <w:t>gap</w:t>
            </w:r>
            <w:r w:rsidRPr="00C61735">
              <w:rPr>
                <w:szCs w:val="24"/>
                <w:lang w:val="en-US"/>
              </w:rPr>
              <w:t xml:space="preserve">s </w:t>
            </w:r>
            <w:r w:rsidR="004D584D" w:rsidRPr="00C61735">
              <w:rPr>
                <w:i/>
                <w:szCs w:val="24"/>
                <w:lang w:val="en-US"/>
              </w:rPr>
              <w:t xml:space="preserve">(including those identified in </w:t>
            </w:r>
            <w:r w:rsidR="00EA2A6B" w:rsidRPr="00C61735">
              <w:rPr>
                <w:i/>
                <w:szCs w:val="24"/>
                <w:lang w:val="en-US"/>
              </w:rPr>
              <w:t xml:space="preserve">the </w:t>
            </w:r>
            <w:proofErr w:type="spellStart"/>
            <w:r w:rsidR="00EA2A6B" w:rsidRPr="00C61735">
              <w:rPr>
                <w:i/>
                <w:szCs w:val="24"/>
                <w:lang w:val="en-US"/>
              </w:rPr>
              <w:t>IW:Science</w:t>
            </w:r>
            <w:proofErr w:type="spellEnd"/>
            <w:r w:rsidR="00EA2A6B" w:rsidRPr="00C61735">
              <w:rPr>
                <w:i/>
                <w:szCs w:val="24"/>
                <w:lang w:val="en-US"/>
              </w:rPr>
              <w:t xml:space="preserve"> Synthesis Report</w:t>
            </w:r>
            <w:r w:rsidRPr="00C61735">
              <w:rPr>
                <w:i/>
                <w:szCs w:val="24"/>
                <w:lang w:val="en-US"/>
              </w:rPr>
              <w:t>)</w:t>
            </w:r>
            <w:r w:rsidR="00DB1073" w:rsidRPr="00C61735">
              <w:rPr>
                <w:i/>
                <w:szCs w:val="24"/>
                <w:lang w:val="en-US"/>
              </w:rPr>
              <w:t xml:space="preserve"> (optional)</w:t>
            </w:r>
          </w:p>
        </w:tc>
        <w:tc>
          <w:tcPr>
            <w:tcW w:w="6615" w:type="dxa"/>
          </w:tcPr>
          <w:p w:rsidR="00EA2A6B" w:rsidRPr="00C61735" w:rsidRDefault="00EA2A6B">
            <w:pPr>
              <w:ind w:left="0"/>
              <w:rPr>
                <w:szCs w:val="24"/>
                <w:lang w:val="en-US"/>
              </w:rPr>
            </w:pPr>
          </w:p>
        </w:tc>
      </w:tr>
      <w:tr w:rsidR="0060015D" w:rsidRPr="00243152" w:rsidTr="002703DA">
        <w:tc>
          <w:tcPr>
            <w:tcW w:w="3216" w:type="dxa"/>
          </w:tcPr>
          <w:p w:rsidR="0060015D" w:rsidRPr="00C61735" w:rsidRDefault="0060015D" w:rsidP="002703DA">
            <w:pPr>
              <w:ind w:left="0"/>
              <w:rPr>
                <w:rFonts w:cstheme="minorHAnsi"/>
                <w:szCs w:val="24"/>
                <w:lang w:val="en-US"/>
              </w:rPr>
            </w:pPr>
            <w:r w:rsidRPr="00C61735">
              <w:rPr>
                <w:rFonts w:cstheme="minorHAnsi"/>
                <w:szCs w:val="24"/>
                <w:lang w:val="en-US"/>
              </w:rPr>
              <w:t xml:space="preserve">Three key recommendations for (targeted) research to be </w:t>
            </w:r>
            <w:r w:rsidRPr="00C61735">
              <w:rPr>
                <w:rFonts w:cstheme="minorHAnsi"/>
                <w:szCs w:val="24"/>
                <w:lang w:val="en-US"/>
              </w:rPr>
              <w:lastRenderedPageBreak/>
              <w:t>considered/prioritized by GEF-STAP</w:t>
            </w:r>
            <w:r w:rsidRPr="00C61735">
              <w:rPr>
                <w:rFonts w:cstheme="minorHAnsi"/>
                <w:i/>
                <w:szCs w:val="24"/>
                <w:lang w:val="en-US"/>
              </w:rPr>
              <w:t xml:space="preserve"> (optional)</w:t>
            </w:r>
          </w:p>
          <w:p w:rsidR="0060015D" w:rsidRPr="00C61735" w:rsidRDefault="0060015D" w:rsidP="002703DA">
            <w:pPr>
              <w:ind w:left="0"/>
              <w:rPr>
                <w:rFonts w:cstheme="minorHAnsi"/>
                <w:szCs w:val="24"/>
                <w:lang w:val="en-US"/>
              </w:rPr>
            </w:pPr>
          </w:p>
          <w:p w:rsidR="0060015D" w:rsidRPr="00C61735" w:rsidRDefault="0060015D" w:rsidP="002703DA">
            <w:pPr>
              <w:ind w:left="0"/>
              <w:rPr>
                <w:rFonts w:cstheme="minorHAnsi"/>
                <w:szCs w:val="24"/>
                <w:lang w:val="en-US"/>
              </w:rPr>
            </w:pPr>
          </w:p>
        </w:tc>
        <w:tc>
          <w:tcPr>
            <w:tcW w:w="6615" w:type="dxa"/>
          </w:tcPr>
          <w:p w:rsidR="0060015D" w:rsidRPr="00C61735" w:rsidRDefault="00935A37" w:rsidP="00B95797">
            <w:pPr>
              <w:pStyle w:val="ListParagraph"/>
              <w:numPr>
                <w:ilvl w:val="0"/>
                <w:numId w:val="4"/>
              </w:numPr>
              <w:rPr>
                <w:szCs w:val="24"/>
                <w:lang w:val="en-US"/>
              </w:rPr>
            </w:pPr>
            <w:r>
              <w:rPr>
                <w:szCs w:val="24"/>
                <w:lang w:val="en-US"/>
              </w:rPr>
              <w:lastRenderedPageBreak/>
              <w:t>Undertake analytical work</w:t>
            </w:r>
            <w:r w:rsidR="00B95797" w:rsidRPr="00C61735">
              <w:rPr>
                <w:szCs w:val="24"/>
                <w:lang w:val="en-US"/>
              </w:rPr>
              <w:t xml:space="preserve"> on</w:t>
            </w:r>
            <w:r w:rsidR="001E0902" w:rsidRPr="00C61735">
              <w:rPr>
                <w:szCs w:val="24"/>
                <w:lang w:val="en-US"/>
              </w:rPr>
              <w:t xml:space="preserve"> how GEF could</w:t>
            </w:r>
            <w:r w:rsidR="00B95797" w:rsidRPr="00C61735">
              <w:rPr>
                <w:szCs w:val="24"/>
                <w:lang w:val="en-US"/>
              </w:rPr>
              <w:t xml:space="preserve"> strengthen</w:t>
            </w:r>
            <w:r w:rsidR="001E0902" w:rsidRPr="00C61735">
              <w:rPr>
                <w:szCs w:val="24"/>
                <w:lang w:val="en-US"/>
              </w:rPr>
              <w:t xml:space="preserve"> its support for political and economic science</w:t>
            </w:r>
            <w:r>
              <w:rPr>
                <w:szCs w:val="24"/>
                <w:lang w:val="en-US"/>
              </w:rPr>
              <w:t>s</w:t>
            </w:r>
            <w:r w:rsidR="001E0902" w:rsidRPr="00C61735">
              <w:rPr>
                <w:szCs w:val="24"/>
                <w:lang w:val="en-US"/>
              </w:rPr>
              <w:t xml:space="preserve"> likely to promote </w:t>
            </w:r>
            <w:r w:rsidR="001E0902" w:rsidRPr="00C61735">
              <w:rPr>
                <w:szCs w:val="24"/>
                <w:lang w:val="en-US"/>
              </w:rPr>
              <w:lastRenderedPageBreak/>
              <w:t>regional cooperation</w:t>
            </w:r>
            <w:r>
              <w:rPr>
                <w:szCs w:val="24"/>
                <w:lang w:val="en-US"/>
              </w:rPr>
              <w:t xml:space="preserve"> to feed into the GEF 6 strategic discussions.</w:t>
            </w:r>
          </w:p>
          <w:p w:rsidR="0060015D" w:rsidRPr="00C61735" w:rsidRDefault="0060015D" w:rsidP="002703DA">
            <w:pPr>
              <w:ind w:left="0"/>
              <w:rPr>
                <w:szCs w:val="24"/>
                <w:lang w:val="en-US"/>
              </w:rPr>
            </w:pPr>
          </w:p>
          <w:p w:rsidR="0060015D" w:rsidRPr="00C61735" w:rsidRDefault="0060015D" w:rsidP="002703DA">
            <w:pPr>
              <w:ind w:left="0"/>
              <w:rPr>
                <w:szCs w:val="24"/>
                <w:lang w:val="en-US"/>
              </w:rPr>
            </w:pPr>
          </w:p>
        </w:tc>
      </w:tr>
      <w:tr w:rsidR="00316FBC" w:rsidRPr="00243152" w:rsidTr="004D584D">
        <w:tc>
          <w:tcPr>
            <w:tcW w:w="3216" w:type="dxa"/>
          </w:tcPr>
          <w:p w:rsidR="00EA2A6B" w:rsidRPr="00C61735" w:rsidRDefault="0060015D" w:rsidP="00EA2A6B">
            <w:pPr>
              <w:ind w:left="0"/>
              <w:rPr>
                <w:rFonts w:cstheme="minorHAnsi"/>
                <w:szCs w:val="24"/>
                <w:lang w:val="en-US"/>
              </w:rPr>
            </w:pPr>
            <w:r w:rsidRPr="00C61735">
              <w:rPr>
                <w:rFonts w:cstheme="minorHAnsi"/>
                <w:color w:val="000000"/>
                <w:szCs w:val="24"/>
                <w:lang w:val="en-US"/>
              </w:rPr>
              <w:lastRenderedPageBreak/>
              <w:t xml:space="preserve">Next steps: how can the result of </w:t>
            </w:r>
            <w:r w:rsidR="00E45CA9" w:rsidRPr="00C61735">
              <w:rPr>
                <w:rFonts w:cstheme="minorHAnsi"/>
                <w:color w:val="000000"/>
                <w:szCs w:val="24"/>
                <w:lang w:val="en-US"/>
              </w:rPr>
              <w:t>the discussions this week</w:t>
            </w:r>
            <w:r w:rsidR="00842238" w:rsidRPr="00C61735">
              <w:rPr>
                <w:rFonts w:cstheme="minorHAnsi"/>
                <w:color w:val="000000"/>
                <w:szCs w:val="24"/>
                <w:lang w:val="en-US"/>
              </w:rPr>
              <w:t xml:space="preserve"> </w:t>
            </w:r>
            <w:proofErr w:type="gramStart"/>
            <w:r w:rsidR="00842238" w:rsidRPr="00C61735">
              <w:rPr>
                <w:rFonts w:cstheme="minorHAnsi"/>
                <w:color w:val="000000"/>
                <w:szCs w:val="24"/>
                <w:lang w:val="en-US"/>
              </w:rPr>
              <w:t>be</w:t>
            </w:r>
            <w:proofErr w:type="gramEnd"/>
            <w:r w:rsidR="00842238" w:rsidRPr="00C61735">
              <w:rPr>
                <w:rFonts w:cstheme="minorHAnsi"/>
                <w:color w:val="000000"/>
                <w:szCs w:val="24"/>
                <w:lang w:val="en-US"/>
              </w:rPr>
              <w:t xml:space="preserve"> </w:t>
            </w:r>
            <w:r w:rsidR="00E45CA9" w:rsidRPr="00C61735">
              <w:rPr>
                <w:rFonts w:cstheme="minorHAnsi"/>
                <w:color w:val="000000"/>
                <w:szCs w:val="24"/>
                <w:lang w:val="en-US"/>
              </w:rPr>
              <w:t>brought to a wider audience</w:t>
            </w:r>
            <w:r w:rsidR="00842238" w:rsidRPr="00C61735">
              <w:rPr>
                <w:rFonts w:cstheme="minorHAnsi"/>
                <w:color w:val="000000"/>
                <w:szCs w:val="24"/>
                <w:lang w:val="en-US"/>
              </w:rPr>
              <w:t xml:space="preserve"> and the science-policy interface be further strengthened</w:t>
            </w:r>
            <w:r w:rsidRPr="00C61735">
              <w:rPr>
                <w:rFonts w:cstheme="minorHAnsi"/>
                <w:color w:val="000000"/>
                <w:szCs w:val="24"/>
                <w:lang w:val="en-US"/>
              </w:rPr>
              <w:t>?</w:t>
            </w:r>
          </w:p>
          <w:p w:rsidR="00EA2A6B" w:rsidRPr="00C61735" w:rsidRDefault="00EA2A6B" w:rsidP="00EA2A6B">
            <w:pPr>
              <w:ind w:left="0"/>
              <w:rPr>
                <w:rFonts w:cstheme="minorHAnsi"/>
                <w:szCs w:val="24"/>
                <w:lang w:val="en-US"/>
              </w:rPr>
            </w:pPr>
          </w:p>
        </w:tc>
        <w:tc>
          <w:tcPr>
            <w:tcW w:w="6615" w:type="dxa"/>
          </w:tcPr>
          <w:p w:rsidR="00EA2A6B" w:rsidRPr="00C61735" w:rsidRDefault="00935A37">
            <w:pPr>
              <w:ind w:left="0"/>
              <w:rPr>
                <w:szCs w:val="24"/>
                <w:lang w:val="en-US"/>
              </w:rPr>
            </w:pPr>
            <w:r>
              <w:rPr>
                <w:szCs w:val="24"/>
                <w:lang w:val="en-US"/>
              </w:rPr>
              <w:t>Analytical work on the process of regionalization and the role of GEF in such processes is proposed.</w:t>
            </w:r>
          </w:p>
          <w:p w:rsidR="00EA2A6B" w:rsidRPr="00C61735" w:rsidRDefault="00EA2A6B">
            <w:pPr>
              <w:ind w:left="0"/>
              <w:rPr>
                <w:szCs w:val="24"/>
                <w:lang w:val="en-US"/>
              </w:rPr>
            </w:pPr>
          </w:p>
        </w:tc>
      </w:tr>
    </w:tbl>
    <w:p w:rsidR="00316FBC" w:rsidRPr="00243152" w:rsidRDefault="00316FBC" w:rsidP="00316FBC">
      <w:pPr>
        <w:rPr>
          <w:sz w:val="24"/>
          <w:szCs w:val="24"/>
          <w:lang w:val="en-US"/>
        </w:rPr>
      </w:pPr>
    </w:p>
    <w:sectPr w:rsidR="00316FBC" w:rsidRPr="00243152" w:rsidSect="004D58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6BF"/>
    <w:multiLevelType w:val="hybridMultilevel"/>
    <w:tmpl w:val="DE30913C"/>
    <w:lvl w:ilvl="0" w:tplc="F6F81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E2A99"/>
    <w:multiLevelType w:val="hybridMultilevel"/>
    <w:tmpl w:val="F328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653D56"/>
    <w:multiLevelType w:val="hybridMultilevel"/>
    <w:tmpl w:val="8E164944"/>
    <w:lvl w:ilvl="0" w:tplc="B96637F0">
      <w:numFmt w:val="bullet"/>
      <w:lvlText w:val="•"/>
      <w:lvlJc w:val="left"/>
      <w:pPr>
        <w:ind w:left="1956" w:hanging="696"/>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F0652B4"/>
    <w:multiLevelType w:val="hybridMultilevel"/>
    <w:tmpl w:val="4AC2473A"/>
    <w:lvl w:ilvl="0" w:tplc="B96637F0">
      <w:numFmt w:val="bullet"/>
      <w:lvlText w:val="•"/>
      <w:lvlJc w:val="left"/>
      <w:pPr>
        <w:ind w:left="1416" w:hanging="696"/>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3"/>
    <w:rsid w:val="00081478"/>
    <w:rsid w:val="00145DCA"/>
    <w:rsid w:val="001D1860"/>
    <w:rsid w:val="001E0902"/>
    <w:rsid w:val="00243152"/>
    <w:rsid w:val="00273C9C"/>
    <w:rsid w:val="00316FBC"/>
    <w:rsid w:val="00322FE9"/>
    <w:rsid w:val="00344797"/>
    <w:rsid w:val="0034699C"/>
    <w:rsid w:val="00371779"/>
    <w:rsid w:val="00391C63"/>
    <w:rsid w:val="003D2C2E"/>
    <w:rsid w:val="003E1EC5"/>
    <w:rsid w:val="00450836"/>
    <w:rsid w:val="00460B26"/>
    <w:rsid w:val="00475630"/>
    <w:rsid w:val="004D584D"/>
    <w:rsid w:val="004F31BD"/>
    <w:rsid w:val="00515604"/>
    <w:rsid w:val="00590E01"/>
    <w:rsid w:val="0060015D"/>
    <w:rsid w:val="0061757F"/>
    <w:rsid w:val="00666258"/>
    <w:rsid w:val="00666570"/>
    <w:rsid w:val="006C01AB"/>
    <w:rsid w:val="007664AA"/>
    <w:rsid w:val="0079528D"/>
    <w:rsid w:val="00840106"/>
    <w:rsid w:val="00842238"/>
    <w:rsid w:val="00854E65"/>
    <w:rsid w:val="00877B03"/>
    <w:rsid w:val="0089194C"/>
    <w:rsid w:val="00935A37"/>
    <w:rsid w:val="00A1281A"/>
    <w:rsid w:val="00A95DA0"/>
    <w:rsid w:val="00B17448"/>
    <w:rsid w:val="00B95797"/>
    <w:rsid w:val="00BC11F7"/>
    <w:rsid w:val="00C61735"/>
    <w:rsid w:val="00CC203E"/>
    <w:rsid w:val="00CF5573"/>
    <w:rsid w:val="00D46033"/>
    <w:rsid w:val="00D76DE1"/>
    <w:rsid w:val="00D918A3"/>
    <w:rsid w:val="00DB1073"/>
    <w:rsid w:val="00DF6BC3"/>
    <w:rsid w:val="00E072CC"/>
    <w:rsid w:val="00E125E1"/>
    <w:rsid w:val="00E3474E"/>
    <w:rsid w:val="00E42475"/>
    <w:rsid w:val="00E45CA9"/>
    <w:rsid w:val="00E64EED"/>
    <w:rsid w:val="00E661B3"/>
    <w:rsid w:val="00EA2A6B"/>
    <w:rsid w:val="00EA4112"/>
    <w:rsid w:val="00EB21C1"/>
    <w:rsid w:val="00EC5779"/>
    <w:rsid w:val="00F32AF7"/>
    <w:rsid w:val="00F44FFA"/>
    <w:rsid w:val="00F57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300" w:lineRule="exact"/>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836"/>
    <w:pPr>
      <w:contextualSpacing/>
    </w:pPr>
  </w:style>
  <w:style w:type="paragraph" w:styleId="BalloonText">
    <w:name w:val="Balloon Text"/>
    <w:basedOn w:val="Normal"/>
    <w:link w:val="BalloonTextChar"/>
    <w:uiPriority w:val="99"/>
    <w:semiHidden/>
    <w:unhideWhenUsed/>
    <w:rsid w:val="00E0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300" w:lineRule="exact"/>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836"/>
    <w:pPr>
      <w:contextualSpacing/>
    </w:pPr>
  </w:style>
  <w:style w:type="paragraph" w:styleId="BalloonText">
    <w:name w:val="Balloon Text"/>
    <w:basedOn w:val="Normal"/>
    <w:link w:val="BalloonTextChar"/>
    <w:uiPriority w:val="99"/>
    <w:semiHidden/>
    <w:unhideWhenUsed/>
    <w:rsid w:val="00E0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1A50-8CB8-49F9-BA38-234DF2BB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Doug</cp:lastModifiedBy>
  <cp:revision>2</cp:revision>
  <dcterms:created xsi:type="dcterms:W3CDTF">2012-10-02T08:28:00Z</dcterms:created>
  <dcterms:modified xsi:type="dcterms:W3CDTF">2012-10-02T08:28:00Z</dcterms:modified>
</cp:coreProperties>
</file>