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1A" w:rsidRPr="006D6EA1" w:rsidRDefault="00FB7D1A" w:rsidP="008A4FDD">
      <w:pPr>
        <w:autoSpaceDE w:val="0"/>
        <w:autoSpaceDN w:val="0"/>
        <w:adjustRightInd w:val="0"/>
        <w:jc w:val="right"/>
        <w:rPr>
          <w:lang w:val="nb-N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25pt;margin-top:-42pt;width:270.75pt;height:69pt;z-index:-251658240" wrapcoords="1855 1643 1556 1878 898 4461 898 5400 359 8687 1017 12913 1017 16670 1316 19252 7001 19487 12924 19487 17830 19487 17651 17139 21241 15965 21121 12913 19207 9157 19326 7748 17651 7278 3710 5400 4069 4226 3889 2583 2633 1643 1855 1643">
            <v:imagedata r:id="rId6" o:title=""/>
            <w10:wrap type="tight"/>
          </v:shape>
        </w:pict>
      </w:r>
      <w:r>
        <w:rPr>
          <w:noProof/>
        </w:rPr>
        <w:pict>
          <v:shape id="_x0000_s1027" type="#_x0000_t75" style="position:absolute;left:0;text-align:left;margin-left:342.75pt;margin-top:-45pt;width:44.25pt;height:81.75pt;z-index:-251659264" wrapcoords="-366 0 -366 21402 21600 21402 21600 0 -366 0">
            <v:imagedata r:id="rId7" o:title=""/>
            <w10:wrap type="tight"/>
          </v:shape>
        </w:pict>
      </w:r>
    </w:p>
    <w:p w:rsidR="00FB7D1A" w:rsidRPr="006D6EA1" w:rsidRDefault="00FB7D1A" w:rsidP="008A4FDD">
      <w:pPr>
        <w:rPr>
          <w:rStyle w:val="postal-code"/>
        </w:rPr>
      </w:pPr>
    </w:p>
    <w:p w:rsidR="00FB7D1A" w:rsidRDefault="00FB7D1A" w:rsidP="006D6EA1">
      <w:pPr>
        <w:jc w:val="center"/>
        <w:rPr>
          <w:rStyle w:val="postal-code"/>
          <w:b/>
          <w:bCs/>
        </w:rPr>
      </w:pPr>
    </w:p>
    <w:p w:rsidR="00FB7D1A" w:rsidRDefault="00FB7D1A" w:rsidP="006D6EA1">
      <w:pPr>
        <w:jc w:val="center"/>
        <w:rPr>
          <w:rStyle w:val="postal-code"/>
          <w:b/>
          <w:bCs/>
        </w:rPr>
      </w:pPr>
    </w:p>
    <w:p w:rsidR="00FB7D1A" w:rsidRPr="006D6EA1" w:rsidRDefault="00FB7D1A" w:rsidP="006D6EA1">
      <w:pPr>
        <w:jc w:val="center"/>
        <w:rPr>
          <w:rStyle w:val="postal-code"/>
          <w:b/>
          <w:bCs/>
        </w:rPr>
      </w:pPr>
      <w:r w:rsidRPr="006D6EA1">
        <w:rPr>
          <w:rStyle w:val="postal-code"/>
          <w:b/>
          <w:bCs/>
        </w:rPr>
        <w:t>Sixth GEF Biennial International Waters Conference (IWC6)</w:t>
      </w:r>
    </w:p>
    <w:p w:rsidR="00FB7D1A" w:rsidRPr="006D6EA1" w:rsidRDefault="00FB7D1A" w:rsidP="006D6EA1">
      <w:pPr>
        <w:jc w:val="center"/>
        <w:rPr>
          <w:rStyle w:val="postal-code"/>
          <w:b/>
          <w:bCs/>
        </w:rPr>
      </w:pPr>
      <w:smartTag w:uri="urn:schemas-microsoft-com:office:smarttags" w:element="City">
        <w:smartTag w:uri="urn:schemas-microsoft-com:office:smarttags" w:element="place">
          <w:r>
            <w:rPr>
              <w:rStyle w:val="postal-code"/>
              <w:b/>
              <w:bCs/>
            </w:rPr>
            <w:t>Dubrovnik</w:t>
          </w:r>
        </w:smartTag>
        <w:r>
          <w:rPr>
            <w:rStyle w:val="postal-code"/>
            <w:b/>
            <w:bCs/>
          </w:rPr>
          <w:t xml:space="preserve">, </w:t>
        </w:r>
        <w:smartTag w:uri="urn:schemas-microsoft-com:office:smarttags" w:element="country-region">
          <w:r>
            <w:rPr>
              <w:rStyle w:val="postal-code"/>
              <w:b/>
              <w:bCs/>
            </w:rPr>
            <w:t>Croatia</w:t>
          </w:r>
        </w:smartTag>
      </w:smartTag>
    </w:p>
    <w:p w:rsidR="00FB7D1A" w:rsidRPr="006D6EA1" w:rsidRDefault="00FB7D1A" w:rsidP="006D6EA1">
      <w:pPr>
        <w:jc w:val="center"/>
        <w:rPr>
          <w:rStyle w:val="postal-code"/>
          <w:b/>
          <w:bCs/>
        </w:rPr>
      </w:pPr>
      <w:r>
        <w:rPr>
          <w:rStyle w:val="postal-code"/>
          <w:b/>
          <w:bCs/>
        </w:rPr>
        <w:t>17-20 October 2011</w:t>
      </w:r>
    </w:p>
    <w:p w:rsidR="00FB7D1A" w:rsidRDefault="00FB7D1A" w:rsidP="008A4FDD">
      <w:pPr>
        <w:rPr>
          <w:rStyle w:val="postal-code"/>
        </w:rPr>
      </w:pPr>
    </w:p>
    <w:p w:rsidR="00FB7D1A" w:rsidRPr="00FD2FB1" w:rsidRDefault="00FB7D1A" w:rsidP="006D6EA1">
      <w:pPr>
        <w:jc w:val="both"/>
      </w:pPr>
      <w:r>
        <w:t xml:space="preserve">This note contains </w:t>
      </w:r>
      <w:r w:rsidRPr="006D6EA1">
        <w:t xml:space="preserve">information related to the organization of the </w:t>
      </w:r>
      <w:r>
        <w:t>Sixth</w:t>
      </w:r>
      <w:r w:rsidRPr="006D6EA1">
        <w:t xml:space="preserve"> Global Environme</w:t>
      </w:r>
      <w:r>
        <w:t>nt F</w:t>
      </w:r>
      <w:r w:rsidRPr="006D6EA1">
        <w:t>acility</w:t>
      </w:r>
      <w:r>
        <w:t xml:space="preserve"> Biennial</w:t>
      </w:r>
      <w:r w:rsidRPr="006D6EA1">
        <w:t xml:space="preserve"> International Waters Conference</w:t>
      </w:r>
      <w:r>
        <w:t xml:space="preserve">, </w:t>
      </w:r>
      <w:r w:rsidRPr="006D6EA1">
        <w:t xml:space="preserve">organized </w:t>
      </w:r>
      <w:r>
        <w:t xml:space="preserve">by </w:t>
      </w:r>
      <w:r w:rsidRPr="006D6EA1">
        <w:t>UNDP</w:t>
      </w:r>
      <w:r>
        <w:t xml:space="preserve"> &amp; partners on behalf</w:t>
      </w:r>
      <w:r w:rsidRPr="006D6EA1">
        <w:t xml:space="preserve"> </w:t>
      </w:r>
      <w:r>
        <w:t xml:space="preserve">of </w:t>
      </w:r>
      <w:r w:rsidRPr="00FD2FB1">
        <w:t>the GEF International Waters project portfolio, in the Mediterranean region in 2011.</w:t>
      </w:r>
    </w:p>
    <w:p w:rsidR="00FB7D1A" w:rsidRPr="00FD2FB1" w:rsidRDefault="00FB7D1A"/>
    <w:p w:rsidR="00FB7D1A" w:rsidRPr="00FD2FB1" w:rsidRDefault="00FB7D1A" w:rsidP="00FD2FB1">
      <w:r w:rsidRPr="00FD2FB1">
        <w:t xml:space="preserve">The Global Environment Facility (GEF) – </w:t>
      </w:r>
      <w:hyperlink r:id="rId8" w:history="1">
        <w:r w:rsidRPr="00FD2FB1">
          <w:rPr>
            <w:rStyle w:val="Hyperlink"/>
          </w:rPr>
          <w:t>www.thegef.org</w:t>
        </w:r>
      </w:hyperlink>
      <w:r w:rsidRPr="00FD2FB1">
        <w:t>, unites 182 member governments - in partnership with international institutions, nongovernmental organizations, and the private sector — to address global environmental issues. An independent financial organization, the GEF provides grants to developing countries and countries with economies in transition for projects related to biodiversity, climate change, international waters, land degradation, the ozone layer, and persistent organic pollutants. These projects benefit the global environment, linking local, national, and global environmental challenges and promoting sustainable livelihoods</w:t>
      </w:r>
    </w:p>
    <w:p w:rsidR="00FB7D1A" w:rsidRPr="00FD2FB1" w:rsidRDefault="00FB7D1A" w:rsidP="008A4FDD">
      <w:pPr>
        <w:autoSpaceDE w:val="0"/>
        <w:autoSpaceDN w:val="0"/>
        <w:adjustRightInd w:val="0"/>
      </w:pPr>
    </w:p>
    <w:p w:rsidR="00FB7D1A" w:rsidRPr="006D6EA1" w:rsidRDefault="00FB7D1A" w:rsidP="008777BB">
      <w:pPr>
        <w:autoSpaceDE w:val="0"/>
        <w:autoSpaceDN w:val="0"/>
        <w:adjustRightInd w:val="0"/>
        <w:jc w:val="both"/>
      </w:pPr>
      <w:r w:rsidRPr="00FD2FB1">
        <w:t xml:space="preserve">The GEF International Waters (IW) focal area targets transboundary water systems, such as shared river basins, lakes, groundwater and large marine ecosystems. The IW portfolio </w:t>
      </w:r>
      <w:r w:rsidRPr="006D6EA1">
        <w:t>comprises to date 170 projects and consists of some US$1.</w:t>
      </w:r>
      <w:r>
        <w:t>2</w:t>
      </w:r>
      <w:r w:rsidRPr="006D6EA1">
        <w:t xml:space="preserve"> billion of GEF grants invested in 149 different countries globally. This investment</w:t>
      </w:r>
      <w:r>
        <w:t xml:space="preserve"> has</w:t>
      </w:r>
      <w:r w:rsidRPr="006D6EA1">
        <w:t xml:space="preserve"> leveraged approximately US$</w:t>
      </w:r>
      <w:r>
        <w:t>5</w:t>
      </w:r>
      <w:r w:rsidRPr="006D6EA1">
        <w:t xml:space="preserve"> billion in co-financing. By all accounts and evaluations, since </w:t>
      </w:r>
      <w:r>
        <w:t>the inception of the GEF in 1991</w:t>
      </w:r>
      <w:r w:rsidRPr="006D6EA1">
        <w:t xml:space="preserve">, the </w:t>
      </w:r>
      <w:r>
        <w:t xml:space="preserve">IW </w:t>
      </w:r>
      <w:r w:rsidRPr="006D6EA1">
        <w:t>portfolio has delivered substantive results and replicable experiences to be scaled-up and mainstreamed globally.</w:t>
      </w:r>
    </w:p>
    <w:p w:rsidR="00FB7D1A" w:rsidRPr="006D6EA1" w:rsidRDefault="00FB7D1A"/>
    <w:p w:rsidR="00FB7D1A" w:rsidRPr="006D6EA1" w:rsidRDefault="00FB7D1A" w:rsidP="008777BB">
      <w:pPr>
        <w:autoSpaceDE w:val="0"/>
        <w:autoSpaceDN w:val="0"/>
        <w:adjustRightInd w:val="0"/>
        <w:jc w:val="both"/>
      </w:pPr>
      <w:r w:rsidRPr="006D6EA1">
        <w:t xml:space="preserve">The GEF Biennial International Waters Conference (IWC) is a signature </w:t>
      </w:r>
      <w:r>
        <w:t xml:space="preserve">learning </w:t>
      </w:r>
      <w:r w:rsidRPr="006D6EA1">
        <w:t>event for the GEF IW focal area. Since 2000, the IWC has progressed from a portfolio-wide stock-taking exercise into an active training and experience-sharing event. IWCs convene on average 300 participants from about 70 projects</w:t>
      </w:r>
      <w:r>
        <w:t>,</w:t>
      </w:r>
      <w:r w:rsidRPr="006D6EA1">
        <w:t xml:space="preserve"> 80 countries</w:t>
      </w:r>
      <w:r>
        <w:t xml:space="preserve"> and the GEF agencies</w:t>
      </w:r>
      <w:r w:rsidRPr="006D6EA1">
        <w:t xml:space="preserve"> to share practical experience, apply evolving policies and procedures, address emerging priorities and improve overall project performance. </w:t>
      </w:r>
    </w:p>
    <w:p w:rsidR="00FB7D1A" w:rsidRPr="006D6EA1" w:rsidRDefault="00FB7D1A" w:rsidP="008A4FDD">
      <w:pPr>
        <w:autoSpaceDE w:val="0"/>
        <w:autoSpaceDN w:val="0"/>
        <w:adjustRightInd w:val="0"/>
      </w:pPr>
    </w:p>
    <w:p w:rsidR="00FB7D1A" w:rsidRPr="006D6EA1" w:rsidRDefault="00FB7D1A" w:rsidP="00031B2E">
      <w:pPr>
        <w:jc w:val="both"/>
      </w:pPr>
      <w:r w:rsidRPr="006D6EA1">
        <w:t>The IWC6 will feature an innovation marketplace (exhibit area), extensive opportunities for focused learning on scientific and technical innovations, interactive training for project managers and countr</w:t>
      </w:r>
      <w:r>
        <w:t>y</w:t>
      </w:r>
      <w:r w:rsidRPr="006D6EA1">
        <w:t xml:space="preserve"> representative</w:t>
      </w:r>
      <w:r>
        <w:t>s</w:t>
      </w:r>
      <w:r w:rsidRPr="006D6EA1">
        <w:t>, interaction with the GEF Secretariat</w:t>
      </w:r>
      <w:r>
        <w:t>,</w:t>
      </w:r>
      <w:r w:rsidRPr="006D6EA1">
        <w:t xml:space="preserve"> GEF agencies and several partner institutions working on International Water</w:t>
      </w:r>
      <w:r>
        <w:t>s</w:t>
      </w:r>
      <w:r w:rsidRPr="006D6EA1">
        <w:t xml:space="preserve"> projects</w:t>
      </w:r>
      <w:r>
        <w:t>. The Conference will also feature</w:t>
      </w:r>
      <w:r w:rsidRPr="006D6EA1">
        <w:t xml:space="preserve"> participant-directed workshops</w:t>
      </w:r>
      <w:r>
        <w:t xml:space="preserve"> and round-table discussion</w:t>
      </w:r>
      <w:r w:rsidRPr="006D6EA1">
        <w:t xml:space="preserve">. The conference will highlight GEF IW projects contributions to ecosystem-based management of the shared water bodies and sustainable implementation of </w:t>
      </w:r>
      <w:r>
        <w:t>Millennium Development Goals (MDG) and targets.</w:t>
      </w:r>
    </w:p>
    <w:p w:rsidR="00FB7D1A" w:rsidRPr="006D6EA1" w:rsidRDefault="00FB7D1A" w:rsidP="00640F99"/>
    <w:p w:rsidR="00FB7D1A" w:rsidRDefault="00FB7D1A" w:rsidP="00BE4EC7">
      <w:pPr>
        <w:jc w:val="both"/>
      </w:pPr>
      <w:r w:rsidRPr="006D6EA1">
        <w:t>During the Conference</w:t>
      </w:r>
      <w:r>
        <w:t>, the</w:t>
      </w:r>
      <w:r w:rsidRPr="006D6EA1">
        <w:t xml:space="preserve"> 20</w:t>
      </w:r>
      <w:r w:rsidRPr="006D6EA1">
        <w:rPr>
          <w:vertAlign w:val="superscript"/>
        </w:rPr>
        <w:t>th</w:t>
      </w:r>
      <w:r w:rsidRPr="006D6EA1">
        <w:t xml:space="preserve"> anniversary of GEF will be </w:t>
      </w:r>
      <w:r>
        <w:t xml:space="preserve">observed. This anniversary will mark a major milestone </w:t>
      </w:r>
      <w:r w:rsidRPr="006D6EA1">
        <w:t>for the world’s largest actor catalyzing international cooperation over one of the world’s most precious</w:t>
      </w:r>
      <w:r>
        <w:t xml:space="preserve"> resources - water. Achievements and results from the IW project portfolio since the creation of GEF in 1991 will be showcased. </w:t>
      </w:r>
    </w:p>
    <w:p w:rsidR="00FB7D1A" w:rsidRPr="006D6EA1" w:rsidRDefault="00FB7D1A" w:rsidP="00285FBB">
      <w:pPr>
        <w:jc w:val="both"/>
      </w:pPr>
    </w:p>
    <w:p w:rsidR="00FB7D1A" w:rsidRPr="006D6EA1" w:rsidRDefault="00FB7D1A" w:rsidP="00285FBB">
      <w:pPr>
        <w:jc w:val="both"/>
      </w:pPr>
      <w:r>
        <w:t>In</w:t>
      </w:r>
      <w:r w:rsidRPr="006D6EA1">
        <w:t xml:space="preserve"> the past 20 years</w:t>
      </w:r>
      <w:r>
        <w:t>, the GEF and its implementing agencies</w:t>
      </w:r>
      <w:r w:rsidRPr="006D6EA1">
        <w:t xml:space="preserve"> have enjoy</w:t>
      </w:r>
      <w:r>
        <w:t>ed</w:t>
      </w:r>
      <w:r w:rsidRPr="006D6EA1">
        <w:t xml:space="preserve"> working together with </w:t>
      </w:r>
      <w:r>
        <w:t>a</w:t>
      </w:r>
      <w:r w:rsidRPr="006D6EA1">
        <w:t xml:space="preserve"> wide array of different partners from </w:t>
      </w:r>
      <w:r>
        <w:t xml:space="preserve">both the </w:t>
      </w:r>
      <w:r w:rsidRPr="006D6EA1">
        <w:t>private and public sectors in the implementation of the GEF IW p</w:t>
      </w:r>
      <w:r>
        <w:t>ortfolio</w:t>
      </w:r>
      <w:r w:rsidRPr="006D6EA1">
        <w:t xml:space="preserve"> and also in the organization of the previous five IWCs. </w:t>
      </w:r>
      <w:r>
        <w:t xml:space="preserve">We strongly hope that in the coming year, the cooperation will be further fostered and there will be more partners attracted to </w:t>
      </w:r>
      <w:r w:rsidRPr="006D6EA1">
        <w:t xml:space="preserve">this commemorative Conference.  </w:t>
      </w:r>
    </w:p>
    <w:p w:rsidR="00FB7D1A" w:rsidRPr="006D6EA1" w:rsidRDefault="00FB7D1A" w:rsidP="00285FBB">
      <w:pPr>
        <w:jc w:val="both"/>
      </w:pPr>
    </w:p>
    <w:p w:rsidR="00FB7D1A" w:rsidRDefault="00FB7D1A" w:rsidP="00285FBB">
      <w:pPr>
        <w:jc w:val="both"/>
      </w:pPr>
      <w:r>
        <w:t xml:space="preserve">Information contained in this memo will hopefully </w:t>
      </w:r>
      <w:r w:rsidRPr="006D6EA1">
        <w:t xml:space="preserve">initiate </w:t>
      </w:r>
      <w:r>
        <w:t>a</w:t>
      </w:r>
      <w:r w:rsidRPr="006D6EA1">
        <w:t xml:space="preserve"> discussion on possible partnership with your organization </w:t>
      </w:r>
      <w:r>
        <w:t xml:space="preserve">in implementing this </w:t>
      </w:r>
      <w:r w:rsidRPr="006D6EA1">
        <w:t>signature event.</w:t>
      </w:r>
      <w:r>
        <w:t xml:space="preserve"> </w:t>
      </w:r>
      <w:r w:rsidRPr="006D6EA1">
        <w:t xml:space="preserve">The IWC6 offers a chance to engage a major cross-section of the actors engaged in managing an essential resource that has, in most cases, only international solutions. Working closely in partnership with multilateral, bilateral and private sector </w:t>
      </w:r>
      <w:r>
        <w:t>actors</w:t>
      </w:r>
      <w:r w:rsidRPr="006D6EA1">
        <w:t xml:space="preserve"> is vital to the success of GEF IW portfolio. </w:t>
      </w:r>
    </w:p>
    <w:p w:rsidR="00FB7D1A" w:rsidRDefault="00FB7D1A" w:rsidP="00285FBB">
      <w:pPr>
        <w:jc w:val="both"/>
      </w:pPr>
    </w:p>
    <w:p w:rsidR="00FB7D1A" w:rsidRPr="006D6EA1" w:rsidRDefault="00FB7D1A" w:rsidP="00285FBB">
      <w:pPr>
        <w:jc w:val="both"/>
      </w:pPr>
      <w:r w:rsidRPr="0058122D">
        <w:t xml:space="preserve">GEF and UNDP are looking for </w:t>
      </w:r>
      <w:r>
        <w:t xml:space="preserve">the opportunity to discuss </w:t>
      </w:r>
      <w:r w:rsidRPr="0058122D">
        <w:t xml:space="preserve">your </w:t>
      </w:r>
      <w:r>
        <w:t xml:space="preserve">organization potential </w:t>
      </w:r>
      <w:r w:rsidRPr="0058122D">
        <w:t xml:space="preserve">support and </w:t>
      </w:r>
      <w:r>
        <w:t xml:space="preserve">participation in the </w:t>
      </w:r>
      <w:r w:rsidRPr="0058122D">
        <w:t>Conference</w:t>
      </w:r>
      <w:r>
        <w:t>. There are different opportunities and possibilities</w:t>
      </w:r>
      <w:r w:rsidRPr="0058122D">
        <w:t xml:space="preserve"> </w:t>
      </w:r>
      <w:r>
        <w:t xml:space="preserve">to contribute to the Conference success and showcase your organization profile and portfolio relevant to the GEF agenda in general and in particular to the topic of the Conference. We invite you to dialog on this with: </w:t>
      </w:r>
    </w:p>
    <w:p w:rsidR="00FB7D1A" w:rsidRDefault="00FB7D1A" w:rsidP="00640F99"/>
    <w:p w:rsidR="00FB7D1A" w:rsidRDefault="00FB7D1A">
      <w:r>
        <w:t xml:space="preserve">Dr. Vladimir Mamaev, </w:t>
      </w:r>
      <w:r>
        <w:br/>
      </w:r>
      <w:r w:rsidRPr="007C24B6">
        <w:t xml:space="preserve">GEF </w:t>
      </w:r>
      <w:r>
        <w:t xml:space="preserve">IW </w:t>
      </w:r>
      <w:r w:rsidRPr="007C24B6">
        <w:t>Regional Technical Advisor</w:t>
      </w:r>
      <w:r w:rsidRPr="007C24B6">
        <w:br/>
      </w:r>
      <w:r>
        <w:t xml:space="preserve">UNDP </w:t>
      </w:r>
      <w:r w:rsidRPr="007C24B6">
        <w:t>Bratislava Regional Centre</w:t>
      </w:r>
      <w:r w:rsidRPr="007C24B6">
        <w:br/>
        <w:t>Tel:  +421 2 59337 267 </w:t>
      </w:r>
      <w:r w:rsidRPr="007C24B6">
        <w:br/>
      </w:r>
      <w:hyperlink r:id="rId9" w:history="1">
        <w:r w:rsidRPr="007C24B6">
          <w:rPr>
            <w:rStyle w:val="Hyperlink"/>
          </w:rPr>
          <w:t>vladimir.mamaev@undp.org</w:t>
        </w:r>
      </w:hyperlink>
    </w:p>
    <w:p w:rsidR="00FB7D1A" w:rsidRDefault="00FB7D1A"/>
    <w:p w:rsidR="00FB7D1A" w:rsidRPr="007C24B6" w:rsidRDefault="00FB7D1A">
      <w:r>
        <w:t xml:space="preserve">Cc: </w:t>
      </w:r>
      <w:hyperlink r:id="rId10" w:history="1">
        <w:r w:rsidRPr="00DB7F1E">
          <w:rPr>
            <w:rStyle w:val="Hyperlink"/>
          </w:rPr>
          <w:t>info@iwlearn.org</w:t>
        </w:r>
      </w:hyperlink>
    </w:p>
    <w:p w:rsidR="00FB7D1A" w:rsidRDefault="00FB7D1A"/>
    <w:p w:rsidR="00FB7D1A" w:rsidRPr="006D6EA1" w:rsidRDefault="00FB7D1A">
      <w:r w:rsidRPr="006D6EA1">
        <w:t>For more information</w:t>
      </w:r>
      <w:r>
        <w:t xml:space="preserve"> on the five previous IWC’s, please visit </w:t>
      </w:r>
      <w:hyperlink r:id="rId11" w:history="1">
        <w:r w:rsidRPr="00DB7F1E">
          <w:rPr>
            <w:rStyle w:val="Hyperlink"/>
          </w:rPr>
          <w:t>http://www.iwlearn.net/iwc2009</w:t>
        </w:r>
      </w:hyperlink>
      <w:r>
        <w:t>, /</w:t>
      </w:r>
      <w:hyperlink r:id="rId12" w:history="1">
        <w:r w:rsidRPr="00DB7F1E">
          <w:rPr>
            <w:rStyle w:val="Hyperlink"/>
          </w:rPr>
          <w:t>iwc2007</w:t>
        </w:r>
      </w:hyperlink>
      <w:r>
        <w:t>, /</w:t>
      </w:r>
      <w:hyperlink r:id="rId13" w:history="1">
        <w:r w:rsidRPr="00DB7F1E">
          <w:rPr>
            <w:rStyle w:val="Hyperlink"/>
          </w:rPr>
          <w:t>iwc2005</w:t>
        </w:r>
      </w:hyperlink>
      <w:r>
        <w:t>, /</w:t>
      </w:r>
      <w:hyperlink r:id="rId14" w:history="1">
        <w:r w:rsidRPr="00DB7F1E">
          <w:rPr>
            <w:rStyle w:val="Hyperlink"/>
          </w:rPr>
          <w:t>iwc2002</w:t>
        </w:r>
      </w:hyperlink>
      <w:r>
        <w:t xml:space="preserve"> and /</w:t>
      </w:r>
      <w:hyperlink r:id="rId15" w:history="1">
        <w:r w:rsidRPr="00DB7F1E">
          <w:rPr>
            <w:rStyle w:val="Hyperlink"/>
          </w:rPr>
          <w:t>iwc2000</w:t>
        </w:r>
      </w:hyperlink>
      <w:r>
        <w:t>.</w:t>
      </w:r>
    </w:p>
    <w:sectPr w:rsidR="00FB7D1A" w:rsidRPr="006D6EA1" w:rsidSect="004A7542">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D1A" w:rsidRDefault="00FB7D1A">
      <w:r>
        <w:separator/>
      </w:r>
    </w:p>
  </w:endnote>
  <w:endnote w:type="continuationSeparator" w:id="0">
    <w:p w:rsidR="00FB7D1A" w:rsidRDefault="00FB7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D1A" w:rsidRDefault="00FB7D1A" w:rsidP="00162EF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B7D1A" w:rsidRDefault="00FB7D1A" w:rsidP="006D6E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D1A" w:rsidRDefault="00FB7D1A">
      <w:r>
        <w:separator/>
      </w:r>
    </w:p>
  </w:footnote>
  <w:footnote w:type="continuationSeparator" w:id="0">
    <w:p w:rsidR="00FB7D1A" w:rsidRDefault="00FB7D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FDD"/>
    <w:rsid w:val="00003469"/>
    <w:rsid w:val="00005416"/>
    <w:rsid w:val="00031B2E"/>
    <w:rsid w:val="00056DDF"/>
    <w:rsid w:val="0009281A"/>
    <w:rsid w:val="00092C85"/>
    <w:rsid w:val="00095241"/>
    <w:rsid w:val="000F3469"/>
    <w:rsid w:val="00153372"/>
    <w:rsid w:val="001561A4"/>
    <w:rsid w:val="00162EF4"/>
    <w:rsid w:val="001C5717"/>
    <w:rsid w:val="001E0AED"/>
    <w:rsid w:val="001F53E6"/>
    <w:rsid w:val="00223604"/>
    <w:rsid w:val="002600F2"/>
    <w:rsid w:val="00285FBB"/>
    <w:rsid w:val="00294663"/>
    <w:rsid w:val="002A318C"/>
    <w:rsid w:val="002B0B1D"/>
    <w:rsid w:val="002B6969"/>
    <w:rsid w:val="0034356E"/>
    <w:rsid w:val="00387E9E"/>
    <w:rsid w:val="00396AC0"/>
    <w:rsid w:val="003A2DF9"/>
    <w:rsid w:val="003B6DC0"/>
    <w:rsid w:val="003C6A66"/>
    <w:rsid w:val="003D6486"/>
    <w:rsid w:val="003F66B7"/>
    <w:rsid w:val="00427787"/>
    <w:rsid w:val="00441E64"/>
    <w:rsid w:val="00456C71"/>
    <w:rsid w:val="00491643"/>
    <w:rsid w:val="004A4745"/>
    <w:rsid w:val="004A7542"/>
    <w:rsid w:val="004C0947"/>
    <w:rsid w:val="004E6718"/>
    <w:rsid w:val="00514624"/>
    <w:rsid w:val="00514F84"/>
    <w:rsid w:val="005264ED"/>
    <w:rsid w:val="00536E59"/>
    <w:rsid w:val="0058122D"/>
    <w:rsid w:val="00591E99"/>
    <w:rsid w:val="005C4CB4"/>
    <w:rsid w:val="005C4CC3"/>
    <w:rsid w:val="005F5D3C"/>
    <w:rsid w:val="00610E2A"/>
    <w:rsid w:val="006151BE"/>
    <w:rsid w:val="00640F99"/>
    <w:rsid w:val="006A7720"/>
    <w:rsid w:val="006C1776"/>
    <w:rsid w:val="006C5219"/>
    <w:rsid w:val="006D4B86"/>
    <w:rsid w:val="006D6EA1"/>
    <w:rsid w:val="007A27D8"/>
    <w:rsid w:val="007C24B6"/>
    <w:rsid w:val="008343CC"/>
    <w:rsid w:val="008777BB"/>
    <w:rsid w:val="008A4FDD"/>
    <w:rsid w:val="009C0097"/>
    <w:rsid w:val="009C25DE"/>
    <w:rsid w:val="009E3139"/>
    <w:rsid w:val="009F5393"/>
    <w:rsid w:val="00A351A0"/>
    <w:rsid w:val="00A67A1C"/>
    <w:rsid w:val="00A71CD1"/>
    <w:rsid w:val="00AC0CF3"/>
    <w:rsid w:val="00AE6036"/>
    <w:rsid w:val="00B01607"/>
    <w:rsid w:val="00B4078F"/>
    <w:rsid w:val="00B4430C"/>
    <w:rsid w:val="00B52D1F"/>
    <w:rsid w:val="00BB0565"/>
    <w:rsid w:val="00BB1D22"/>
    <w:rsid w:val="00BE4EC7"/>
    <w:rsid w:val="00C410FB"/>
    <w:rsid w:val="00C818E0"/>
    <w:rsid w:val="00C86AF5"/>
    <w:rsid w:val="00C95EC2"/>
    <w:rsid w:val="00CB07F5"/>
    <w:rsid w:val="00D328DF"/>
    <w:rsid w:val="00D52E79"/>
    <w:rsid w:val="00D9131B"/>
    <w:rsid w:val="00DB5623"/>
    <w:rsid w:val="00DB7F1E"/>
    <w:rsid w:val="00DC22BB"/>
    <w:rsid w:val="00DE19F1"/>
    <w:rsid w:val="00E046F7"/>
    <w:rsid w:val="00E377BD"/>
    <w:rsid w:val="00E617CF"/>
    <w:rsid w:val="00E70071"/>
    <w:rsid w:val="00E959EE"/>
    <w:rsid w:val="00EA01D5"/>
    <w:rsid w:val="00ED413E"/>
    <w:rsid w:val="00F06262"/>
    <w:rsid w:val="00F54BFF"/>
    <w:rsid w:val="00FB7D1A"/>
    <w:rsid w:val="00FD2F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DD"/>
    <w:rPr>
      <w:sz w:val="24"/>
      <w:szCs w:val="24"/>
    </w:rPr>
  </w:style>
  <w:style w:type="paragraph" w:styleId="Heading1">
    <w:name w:val="heading 1"/>
    <w:basedOn w:val="Normal"/>
    <w:next w:val="Normal"/>
    <w:link w:val="Heading1Char"/>
    <w:uiPriority w:val="99"/>
    <w:qFormat/>
    <w:rsid w:val="003F66B7"/>
    <w:pPr>
      <w:keepNext/>
      <w:pBdr>
        <w:top w:val="single" w:sz="8" w:space="1" w:color="auto" w:shadow="1"/>
        <w:left w:val="single" w:sz="8" w:space="4" w:color="auto" w:shadow="1"/>
        <w:bottom w:val="single" w:sz="8" w:space="1" w:color="auto" w:shadow="1"/>
        <w:right w:val="single" w:sz="8" w:space="4" w:color="auto" w:shadow="1"/>
      </w:pBdr>
      <w:outlineLvl w:val="0"/>
    </w:pPr>
    <w:rPr>
      <w:b/>
      <w:bCs/>
      <w:color w:val="000000"/>
    </w:rPr>
  </w:style>
  <w:style w:type="paragraph" w:styleId="Heading2">
    <w:name w:val="heading 2"/>
    <w:basedOn w:val="Normal"/>
    <w:next w:val="Normal"/>
    <w:link w:val="Heading2Char"/>
    <w:uiPriority w:val="99"/>
    <w:qFormat/>
    <w:rsid w:val="003F66B7"/>
    <w:pPr>
      <w:keepNext/>
      <w:shd w:val="clear" w:color="auto" w:fill="000000"/>
      <w:outlineLvl w:val="1"/>
    </w:pPr>
    <w:rPr>
      <w:b/>
      <w:bCs/>
      <w:color w:val="FFFFFF"/>
    </w:rPr>
  </w:style>
  <w:style w:type="paragraph" w:styleId="Heading3">
    <w:name w:val="heading 3"/>
    <w:basedOn w:val="Normal"/>
    <w:next w:val="Normal"/>
    <w:link w:val="Heading3Char"/>
    <w:uiPriority w:val="99"/>
    <w:qFormat/>
    <w:rsid w:val="003F66B7"/>
    <w:pPr>
      <w:keepNext/>
      <w:shd w:val="pct10" w:color="auto" w:fill="FFFFFF"/>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5717"/>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C5717"/>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1C5717"/>
    <w:rPr>
      <w:rFonts w:ascii="Cambria" w:hAnsi="Cambria" w:cs="Cambria"/>
      <w:b/>
      <w:bCs/>
      <w:sz w:val="26"/>
      <w:szCs w:val="26"/>
    </w:rPr>
  </w:style>
  <w:style w:type="paragraph" w:styleId="BalloonText">
    <w:name w:val="Balloon Text"/>
    <w:basedOn w:val="Normal"/>
    <w:link w:val="BalloonTextChar"/>
    <w:uiPriority w:val="99"/>
    <w:semiHidden/>
    <w:rsid w:val="00DC22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5717"/>
    <w:rPr>
      <w:rFonts w:cs="Times New Roman"/>
      <w:sz w:val="2"/>
      <w:szCs w:val="2"/>
    </w:rPr>
  </w:style>
  <w:style w:type="character" w:customStyle="1" w:styleId="postal-code">
    <w:name w:val="postal-code"/>
    <w:basedOn w:val="DefaultParagraphFont"/>
    <w:uiPriority w:val="99"/>
    <w:rsid w:val="008A4FDD"/>
    <w:rPr>
      <w:rFonts w:cs="Times New Roman"/>
    </w:rPr>
  </w:style>
  <w:style w:type="character" w:styleId="Hyperlink">
    <w:name w:val="Hyperlink"/>
    <w:basedOn w:val="DefaultParagraphFont"/>
    <w:uiPriority w:val="99"/>
    <w:rsid w:val="008777BB"/>
    <w:rPr>
      <w:rFonts w:cs="Times New Roman"/>
      <w:color w:val="0000FF"/>
      <w:u w:val="single"/>
    </w:rPr>
  </w:style>
  <w:style w:type="paragraph" w:styleId="Footer">
    <w:name w:val="footer"/>
    <w:basedOn w:val="Normal"/>
    <w:link w:val="FooterChar"/>
    <w:uiPriority w:val="99"/>
    <w:rsid w:val="006D6EA1"/>
    <w:pPr>
      <w:tabs>
        <w:tab w:val="center" w:pos="4844"/>
        <w:tab w:val="right" w:pos="9689"/>
      </w:tabs>
    </w:pPr>
  </w:style>
  <w:style w:type="character" w:customStyle="1" w:styleId="FooterChar">
    <w:name w:val="Footer Char"/>
    <w:basedOn w:val="DefaultParagraphFont"/>
    <w:link w:val="Footer"/>
    <w:uiPriority w:val="99"/>
    <w:semiHidden/>
    <w:locked/>
    <w:rsid w:val="001C5717"/>
    <w:rPr>
      <w:rFonts w:cs="Times New Roman"/>
      <w:sz w:val="24"/>
      <w:szCs w:val="24"/>
    </w:rPr>
  </w:style>
  <w:style w:type="character" w:styleId="PageNumber">
    <w:name w:val="page number"/>
    <w:basedOn w:val="DefaultParagraphFont"/>
    <w:uiPriority w:val="99"/>
    <w:rsid w:val="006D6EA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gef.org" TargetMode="External"/><Relationship Id="rId13" Type="http://schemas.openxmlformats.org/officeDocument/2006/relationships/hyperlink" Target="http://www.iwlearn.net/iwc200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iwlearn.net/iwc200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wlearn.net/iwc2009" TargetMode="External"/><Relationship Id="rId5" Type="http://schemas.openxmlformats.org/officeDocument/2006/relationships/endnotes" Target="endnotes.xml"/><Relationship Id="rId15" Type="http://schemas.openxmlformats.org/officeDocument/2006/relationships/hyperlink" Target="http://www.iwlearn.net/iwc2000" TargetMode="External"/><Relationship Id="rId10" Type="http://schemas.openxmlformats.org/officeDocument/2006/relationships/hyperlink" Target="mailto:info@iwlearn.org" TargetMode="External"/><Relationship Id="rId4" Type="http://schemas.openxmlformats.org/officeDocument/2006/relationships/footnotes" Target="footnotes.xml"/><Relationship Id="rId9" Type="http://schemas.openxmlformats.org/officeDocument/2006/relationships/hyperlink" Target="mailto:vladimir.mamaev@undp.org" TargetMode="External"/><Relationship Id="rId14" Type="http://schemas.openxmlformats.org/officeDocument/2006/relationships/hyperlink" Target="http://www.iwlearn.net/iwc2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748</Words>
  <Characters>4270</Characters>
  <Application>Microsoft Office Outlook</Application>
  <DocSecurity>0</DocSecurity>
  <Lines>0</Lines>
  <Paragraphs>0</Paragraphs>
  <ScaleCrop>false</ScaleCrop>
  <Company>IW:LEARN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Mish</dc:creator>
  <cp:keywords/>
  <dc:description/>
  <cp:lastModifiedBy>Mish</cp:lastModifiedBy>
  <cp:revision>9</cp:revision>
  <cp:lastPrinted>2011-02-03T16:01:00Z</cp:lastPrinted>
  <dcterms:created xsi:type="dcterms:W3CDTF">2011-01-24T15:00:00Z</dcterms:created>
  <dcterms:modified xsi:type="dcterms:W3CDTF">2011-03-04T10:58:00Z</dcterms:modified>
</cp:coreProperties>
</file>